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Joint Schedule 10 (Processing Data)</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the Buyer will be the Controller, and the Supplier the Processor in the vast majority of cases. If the Buyer believes another data processing scenario applies, such as the Parties being Joint or Independent Controllers, the Buyer </w:t>
      </w:r>
      <w:r w:rsidDel="00000000" w:rsidR="00000000" w:rsidRPr="00000000">
        <w:rPr>
          <w:rFonts w:ascii="Arial" w:cs="Arial" w:eastAsia="Arial" w:hAnsi="Arial"/>
          <w:b w:val="1"/>
          <w:bCs w:val="1"/>
          <w:i w:val="1"/>
          <w:iCs w:val="1"/>
          <w:smallCaps w:val="0"/>
          <w:strike w:val="0"/>
          <w:color w:val="000000"/>
          <w:sz w:val="24"/>
          <w:szCs w:val="24"/>
          <w:highlight w:val="yellow"/>
          <w:u w:val="single"/>
          <w:vertAlign w:val="baseline"/>
          <w:rtl w:val="0"/>
        </w:rPr>
        <w:t xml:space="preserve">must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speak to its data protection team or Data Protection Officer. Making the Supplier a Controller over Buyer information can create risks for the Buyer, and the Buyer must make sure it understands the consequences of this.]</w:t>
      </w:r>
    </w:p>
    <w:p w:rsidR="00000000" w:rsidDel="00000000" w:rsidP="00000000" w:rsidRDefault="00000000" w:rsidRPr="00000000" w14:paraId="0000000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tl w:val="0"/>
        </w:rPr>
      </w:r>
    </w:p>
    <w:tbl>
      <w:tblPr>
        <w:tblStyle w:val="Table1"/>
        <w:tblW w:w="8732.0" w:type="dxa"/>
        <w:jc w:val="left"/>
        <w:tblInd w:w="28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77"/>
        <w:gridCol w:w="5755"/>
        <w:tblGridChange w:id="0">
          <w:tblGrid>
            <w:gridCol w:w="2977"/>
            <w:gridCol w:w="575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“Joint Control”</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two (2) or more Controllers jointly determine the purposes and means of Processing;</w:t>
            </w:r>
          </w:p>
        </w:tc>
      </w:tr>
      <w:tr>
        <w:trPr>
          <w:cantSplit w:val="0"/>
          <w:tblHeader w:val="0"/>
        </w:trPr>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in Article 26 of the UK GDPR, or EU GDPR, as the context requires; and</w:t>
            </w:r>
          </w:p>
        </w:tc>
      </w:tr>
      <w:tr>
        <w:trPr>
          <w:cantSplit w:val="0"/>
          <w:tblHeader w:val="0"/>
        </w:trPr>
        <w:tc>
          <w:tcPr/>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“Processor Personnel”</w:t>
            </w:r>
          </w:p>
        </w:tc>
        <w:tc>
          <w:tcPr/>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E">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Status of the Controller</w:t>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 </w:t>
        <w:tab/>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10">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“Controller” in respect of the other Party who is “Processor”;</w:t>
      </w:r>
    </w:p>
    <w:p w:rsidR="00000000" w:rsidDel="00000000" w:rsidP="00000000" w:rsidRDefault="00000000" w:rsidRPr="00000000" w14:paraId="00000011">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“Processor” in respect of the other Party who is “Controller”;</w:t>
      </w:r>
    </w:p>
    <w:p w:rsidR="00000000" w:rsidDel="00000000" w:rsidP="00000000" w:rsidRDefault="00000000" w:rsidRPr="00000000" w14:paraId="00000012">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“Joint Controller” with the other Party; </w:t>
      </w:r>
    </w:p>
    <w:p w:rsidR="00000000" w:rsidDel="00000000" w:rsidP="00000000" w:rsidRDefault="00000000" w:rsidRPr="00000000" w14:paraId="00000013">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“Independent Controller” of the Personal Data where the other Party is also “Controller”,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certain Personal Data under a Contract and shall specify in Annex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which scenario they think shall apply in each situation. </w:t>
      </w:r>
    </w:p>
    <w:p w:rsidR="00000000" w:rsidDel="00000000" w:rsidP="00000000" w:rsidRDefault="00000000" w:rsidRPr="00000000" w14:paraId="0000001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Where one Party is Controller and the other Party its Processor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 </w:t>
        <w:tab/>
        <w:t xml:space="preserve">Where a Party is a Processor, the only Processing that it is authorised to do is listed in Annex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by the Controller or further provided in writing by the Controller and may not be determined by the Processor.</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3.2 </w:t>
        <w:tab/>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3.3 </w:t>
        <w:tab/>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systematic description of the envisaged Processing and the purpose of the Processing;</w:t>
      </w:r>
    </w:p>
    <w:p w:rsidR="00000000" w:rsidDel="00000000" w:rsidP="00000000" w:rsidRDefault="00000000" w:rsidRPr="00000000" w14:paraId="0000001A">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assessment of the necessity and proportionality of the Processing in relation to the Deliverables;</w:t>
      </w:r>
    </w:p>
    <w:p w:rsidR="00000000" w:rsidDel="00000000" w:rsidP="00000000" w:rsidRDefault="00000000" w:rsidRPr="00000000" w14:paraId="0000001B">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assessment of the risks to the rights and freedoms of Data Subjects; and</w:t>
      </w:r>
    </w:p>
    <w:p w:rsidR="00000000" w:rsidDel="00000000" w:rsidP="00000000" w:rsidRDefault="00000000" w:rsidRPr="00000000" w14:paraId="0000001C">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measures envisaged to address the risks, including safeguards, security measures and mechanisms to ensure the protection of Personal Data; and</w:t>
      </w:r>
    </w:p>
    <w:p w:rsidR="00000000" w:rsidDel="00000000" w:rsidP="00000000" w:rsidRDefault="00000000" w:rsidRPr="00000000" w14:paraId="0000001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providing assurance that the measures referred to in Paragraph 3.3.4 comply with the Security Requirements (if any).</w:t>
      </w:r>
    </w:p>
    <w:bookmarkStart w:colFirst="0" w:colLast="0" w:name="qdd8h4vgl3y0" w:id="0"/>
    <w:bookmarkEnd w:id="0"/>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3.4 </w:t>
        <w:tab/>
        <w:t xml:space="preserve">The Processor shall, in relation to any Personal Data Processed in connection with its obligations under the Contract:</w:t>
      </w:r>
    </w:p>
    <w:bookmarkStart w:colFirst="0" w:colLast="0" w:name="fquh2sga4h29" w:id="1"/>
    <w:bookmarkEnd w:id="1"/>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3.4.1</w:t>
        <w:tab/>
        <w:t xml:space="preserve">process that Personal Data only in accordance with Annex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p>
    <w:bookmarkStart w:colFirst="0" w:colLast="0" w:name="6b3nrkm8y03a" w:id="2"/>
    <w:bookmarkEnd w:id="2"/>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3.4.2</w:t>
        <w:tab/>
        <w:t xml:space="preserve">ensure that it has in place Protective Measures including in the case of the Supplier the measures set out in this Joint Schedule 10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Clause 17.3 of the General Terms and the Security Requirements (if any)</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which  the Controller may reasonably reject (including, where applicable in accordance with its rights of rejection under those provisions)  but failure to reject shall not amount to approval by the Controller of the adequacy of the Protective Measures), having taken account of the:</w:t>
      </w:r>
    </w:p>
    <w:p w:rsidR="00000000" w:rsidDel="00000000" w:rsidP="00000000" w:rsidRDefault="00000000" w:rsidRPr="00000000" w14:paraId="0000002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nature of the data to be protected;</w:t>
      </w:r>
      <w:bookmarkStart w:colFirst="0" w:colLast="0" w:name="970cbx4xf2au" w:id="3"/>
      <w:bookmarkEnd w:id="3"/>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harm that might result from a Data Loss Event;</w:t>
      </w:r>
    </w:p>
    <w:p w:rsidR="00000000" w:rsidDel="00000000" w:rsidP="00000000" w:rsidRDefault="00000000" w:rsidRPr="00000000" w14:paraId="0000002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of technological development; and</w:t>
      </w:r>
    </w:p>
    <w:p w:rsidR="00000000" w:rsidDel="00000000" w:rsidP="00000000" w:rsidRDefault="00000000" w:rsidRPr="00000000" w14:paraId="0000002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cost of implementing any measures. </w:t>
      </w:r>
    </w:p>
    <w:bookmarkStart w:colFirst="0" w:colLast="0" w:name="1zj926cxzvls" w:id="4"/>
    <w:bookmarkEnd w:id="4"/>
    <w:p w:rsidR="00000000" w:rsidDel="00000000" w:rsidP="00000000" w:rsidRDefault="00000000" w:rsidRPr="00000000" w14:paraId="00000025">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w:t>
      </w:r>
    </w:p>
    <w:p w:rsidR="00000000" w:rsidDel="00000000" w:rsidP="00000000" w:rsidRDefault="00000000" w:rsidRPr="00000000" w14:paraId="00000026">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Processor Personnel do not Process Personal Data except in accordance with the Contract (and in particular Annex 1</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(Processing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Controller’s further written instructions;</w:t>
      </w:r>
    </w:p>
    <w:p w:rsidR="00000000" w:rsidDel="00000000" w:rsidP="00000000" w:rsidRDefault="00000000" w:rsidRPr="00000000" w14:paraId="00000027">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uses  best endeavours  to ensure the reliability and integrity of any Processor Personnel who have access to the Personal Data and ensure that they:</w:t>
      </w:r>
    </w:p>
    <w:p w:rsidR="00000000" w:rsidDel="00000000" w:rsidP="00000000" w:rsidRDefault="00000000" w:rsidRPr="00000000" w14:paraId="00000028">
      <w:pPr>
        <w:keepNext w:val="0"/>
        <w:keepLines w:val="0"/>
        <w:pageBreakBefore w:val="0"/>
        <w:widowControl w:val="1"/>
        <w:numPr>
          <w:ilvl w:val="4"/>
          <w:numId w:val="15"/>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subject to any staff vetting required by this Contract, including the Security Requirements (if any);</w:t>
      </w:r>
    </w:p>
    <w:p w:rsidR="00000000" w:rsidDel="00000000" w:rsidP="00000000" w:rsidRDefault="00000000" w:rsidRPr="00000000" w14:paraId="00000029">
      <w:pPr>
        <w:keepNext w:val="0"/>
        <w:keepLines w:val="0"/>
        <w:pageBreakBefore w:val="0"/>
        <w:widowControl w:val="1"/>
        <w:numPr>
          <w:ilvl w:val="4"/>
          <w:numId w:val="15"/>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aware of and comply with the Proce</w:t>
      </w:r>
      <w:bookmarkStart w:colFirst="0" w:colLast="0" w:name="l8zzukctey0y"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ssor’s duties under this Joint Schedule 10, the Security Requirements (if any) and Clauses 17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Data protection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What you must keep confidential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19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you can share information</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w:t>
      </w:r>
    </w:p>
    <w:p w:rsidR="00000000" w:rsidDel="00000000" w:rsidP="00000000" w:rsidRDefault="00000000" w:rsidRPr="00000000" w14:paraId="0000002A">
      <w:pPr>
        <w:keepNext w:val="0"/>
        <w:keepLines w:val="0"/>
        <w:pageBreakBefore w:val="0"/>
        <w:widowControl w:val="1"/>
        <w:numPr>
          <w:ilvl w:val="4"/>
          <w:numId w:val="15"/>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subject to appropriate confidentiality undertakings with the Processor or any Subprocessor;</w:t>
      </w:r>
    </w:p>
    <w:p w:rsidR="00000000" w:rsidDel="00000000" w:rsidP="00000000" w:rsidRDefault="00000000" w:rsidRPr="00000000" w14:paraId="0000002B">
      <w:pPr>
        <w:keepNext w:val="0"/>
        <w:keepLines w:val="0"/>
        <w:pageBreakBefore w:val="0"/>
        <w:widowControl w:val="1"/>
        <w:numPr>
          <w:ilvl w:val="4"/>
          <w:numId w:val="15"/>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C">
      <w:pPr>
        <w:keepNext w:val="0"/>
        <w:keepLines w:val="0"/>
        <w:pageBreakBefore w:val="0"/>
        <w:widowControl w:val="1"/>
        <w:numPr>
          <w:ilvl w:val="4"/>
          <w:numId w:val="15"/>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undergone adequate training in the use, care, protection and handling of Personal Data (including any training required by the Security Requirements (if any)); </w:t>
      </w:r>
    </w:p>
    <w:bookmarkStart w:colFirst="0" w:colLast="0" w:name="taotugjrrlys" w:id="6"/>
    <w:bookmarkEnd w:id="6"/>
    <w:p w:rsidR="00000000" w:rsidDel="00000000" w:rsidP="00000000" w:rsidRDefault="00000000" w:rsidRPr="00000000" w14:paraId="0000002D">
      <w:pPr>
        <w:keepNext w:val="0"/>
        <w:keepLines w:val="0"/>
        <w:pageBreakBefore w:val="0"/>
        <w:widowControl w:val="1"/>
        <w:numPr>
          <w:ilvl w:val="2"/>
          <w:numId w:val="2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transfer Personal Data outside of the UK and/or the EEA unless the prior written consent of the Controller has been obtained and the following conditions are fulfilled:</w:t>
      </w:r>
    </w:p>
    <w:bookmarkStart w:colFirst="0" w:colLast="0" w:name="gfvr75urfblg" w:id="7"/>
    <w:bookmarkEnd w:id="7"/>
    <w:p w:rsidR="00000000" w:rsidDel="00000000" w:rsidP="00000000" w:rsidRDefault="00000000" w:rsidRPr="00000000" w14:paraId="0000002E">
      <w:pPr>
        <w:keepNext w:val="0"/>
        <w:keepLines w:val="0"/>
        <w:pageBreakBefore w:val="0"/>
        <w:widowControl w:val="1"/>
        <w:numPr>
          <w:ilvl w:val="3"/>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destination country (and if applicable the entity receiving the Personal Data) has been recognised as adequate by the UK government in accordance with Article 45 of the UK GDPR (or section 74 of the DPA 2018) and/or Article 45 of the EU GDPR (where applicable), provided that if the destination country of a transfer is the United States:</w:t>
      </w:r>
    </w:p>
    <w:p w:rsidR="00000000" w:rsidDel="00000000" w:rsidP="00000000" w:rsidRDefault="00000000" w:rsidRPr="00000000" w14:paraId="0000002F">
      <w:pPr>
        <w:keepNext w:val="0"/>
        <w:keepLines w:val="0"/>
        <w:pageBreakBefore w:val="0"/>
        <w:widowControl w:val="1"/>
        <w:numPr>
          <w:ilvl w:val="4"/>
          <w:numId w:val="21"/>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prior to the transfer of any Personal Data to the United States relying on this adequacy (including to any United States-based Subcontractors and/or Subprocessors), the Supplier (and/or the applicable Subcontractor and/or Subprocessor) must be self-certified and continue to be self-certified on the US Data Privacy Framework;  </w:t>
      </w:r>
    </w:p>
    <w:p w:rsidR="00000000" w:rsidDel="00000000" w:rsidP="00000000" w:rsidRDefault="00000000" w:rsidRPr="00000000" w14:paraId="00000030">
      <w:pPr>
        <w:keepNext w:val="0"/>
        <w:keepLines w:val="0"/>
        <w:pageBreakBefore w:val="0"/>
        <w:widowControl w:val="1"/>
        <w:numPr>
          <w:ilvl w:val="4"/>
          <w:numId w:val="21"/>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notify the Buyer immediately if there are any, or there are reasonable grounds to believe there may be any, changes in respect of their and/or their Subcontractor's or Subprocessor's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3.4.4(a); and </w:t>
      </w:r>
    </w:p>
    <w:p w:rsidR="00000000" w:rsidDel="00000000" w:rsidP="00000000" w:rsidRDefault="00000000" w:rsidRPr="00000000" w14:paraId="00000031">
      <w:pPr>
        <w:keepNext w:val="0"/>
        <w:keepLines w:val="0"/>
        <w:pageBreakBefore w:val="0"/>
        <w:widowControl w:val="1"/>
        <w:numPr>
          <w:ilvl w:val="4"/>
          <w:numId w:val="21"/>
        </w:numPr>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that the Supplier (and/or the applicable Subcontractor or Subprocessor):  </w:t>
      </w:r>
    </w:p>
    <w:p w:rsidR="00000000" w:rsidDel="00000000" w:rsidP="00000000" w:rsidRDefault="00000000" w:rsidRPr="00000000" w14:paraId="00000032">
      <w:pPr>
        <w:keepNext w:val="0"/>
        <w:keepLines w:val="0"/>
        <w:pageBreakBefore w:val="0"/>
        <w:widowControl w:val="1"/>
        <w:numPr>
          <w:ilvl w:val="5"/>
          <w:numId w:val="21"/>
        </w:numPr>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4536" w:right="0" w:hanging="85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ceases to be certified on the US Data Privacy Framework and the Supplier does not put in place the alternative data transfer mechanisms required for compliance with this Paragraph 3.4.4(a); </w:t>
      </w:r>
    </w:p>
    <w:p w:rsidR="00000000" w:rsidDel="00000000" w:rsidP="00000000" w:rsidRDefault="00000000" w:rsidRPr="00000000" w14:paraId="00000033">
      <w:pPr>
        <w:keepNext w:val="0"/>
        <w:keepLines w:val="0"/>
        <w:pageBreakBefore w:val="0"/>
        <w:widowControl w:val="1"/>
        <w:numPr>
          <w:ilvl w:val="5"/>
          <w:numId w:val="21"/>
        </w:numPr>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4536"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US Data Privacy Framework is no longer available and the Supplier does not put in place the alternative data transfer mechanisms required for compliance with this Paragraph 3.4.4(a); and/or </w:t>
      </w:r>
    </w:p>
    <w:p w:rsidR="00000000" w:rsidDel="00000000" w:rsidP="00000000" w:rsidRDefault="00000000" w:rsidRPr="00000000" w14:paraId="00000034">
      <w:pPr>
        <w:keepNext w:val="0"/>
        <w:keepLines w:val="0"/>
        <w:pageBreakBefore w:val="0"/>
        <w:widowControl w:val="1"/>
        <w:numPr>
          <w:ilvl w:val="5"/>
          <w:numId w:val="21"/>
        </w:numPr>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4536"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fails to notify the Buyer of any changes to its certification status in accordance with Paragraph 3.4.4(a)(ii) above,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28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have the right to terminate this Contract with immediate effect; or</w:t>
      </w:r>
    </w:p>
    <w:p w:rsidR="00000000" w:rsidDel="00000000" w:rsidP="00000000" w:rsidRDefault="00000000" w:rsidRPr="00000000" w14:paraId="00000036">
      <w:pPr>
        <w:keepNext w:val="0"/>
        <w:keepLines w:val="0"/>
        <w:pageBreakBefore w:val="0"/>
        <w:widowControl w:val="1"/>
        <w:numPr>
          <w:ilvl w:val="3"/>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Controller and/or the Processor have provided appropriate safeguards in relation to the transfer (whether in accordance with UK GDPR Article 46 or section 75 of the DPA 2018) and/or Article 46 of the EU GDPR (where applicable) as determined by the Controller which could include relevant parties entering into:</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w:t>
        <w:tab/>
        <w:t xml:space="preserve">where the transfer is subject to UK GDPR;</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4536"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t>
        <w:tab/>
        <w:t xml:space="preserve">the International Data Transfer Agreement (“issued by the Information Commissioner under s119A(1) of the DPA 2018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IDTA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or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4536" w:right="0" w:hanging="85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w:t>
        <w:tab/>
        <w:t xml:space="preserve">the European Commission’s Standard Contractual Clauses per decision 2021/914/EU or such updated version of such Standard Contractual Clauses as are published by the European Commission from time to time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EU SCCs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together with the UK International Data Transfer Agreement Addendum to the  EU SCCs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Addendum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published by the Information Commissioner’s Office from time to time under section 119A(1) of the DPA 2018; and/or</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360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 </w:t>
        <w:tab/>
        <w:t xml:space="preserve">where the transfer is subject to EU GDPR, the EU SCCs,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61"/>
        </w:tabs>
        <w:spacing w:after="120" w:before="120" w:line="240" w:lineRule="auto"/>
        <w:ind w:left="283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well as any additional measures being determined by the Controller being implemented by the importing party; </w:t>
      </w:r>
    </w:p>
    <w:bookmarkStart w:colFirst="0" w:colLast="0" w:name="h4yr0qieni5x" w:id="8"/>
    <w:bookmarkEnd w:id="8"/>
    <w:p w:rsidR="00000000" w:rsidDel="00000000" w:rsidP="00000000" w:rsidRDefault="00000000" w:rsidRPr="00000000" w14:paraId="0000003C">
      <w:pPr>
        <w:keepNext w:val="0"/>
        <w:keepLines w:val="0"/>
        <w:pageBreakBefore w:val="0"/>
        <w:widowControl w:val="1"/>
        <w:numPr>
          <w:ilvl w:val="3"/>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Subject has enforceable rights and effective legal remedies;</w:t>
      </w:r>
    </w:p>
    <w:bookmarkStart w:colFirst="0" w:colLast="0" w:name="jdinuog7nod2" w:id="9"/>
    <w:bookmarkEnd w:id="9"/>
    <w:p w:rsidR="00000000" w:rsidDel="00000000" w:rsidP="00000000" w:rsidRDefault="00000000" w:rsidRPr="00000000" w14:paraId="0000003D">
      <w:pPr>
        <w:keepNext w:val="0"/>
        <w:keepLines w:val="0"/>
        <w:pageBreakBefore w:val="0"/>
        <w:widowControl w:val="1"/>
        <w:numPr>
          <w:ilvl w:val="3"/>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gvnh8fjw9e85" w:id="10"/>
    <w:bookmarkEnd w:id="10"/>
    <w:p w:rsidR="00000000" w:rsidDel="00000000" w:rsidP="00000000" w:rsidRDefault="00000000" w:rsidRPr="00000000" w14:paraId="0000003E">
      <w:pPr>
        <w:keepNext w:val="0"/>
        <w:keepLines w:val="0"/>
        <w:pageBreakBefore w:val="0"/>
        <w:widowControl w:val="1"/>
        <w:numPr>
          <w:ilvl w:val="3"/>
          <w:numId w:val="21"/>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Processor complies with any reasonable instructions notified to it in advance by the Controller with respect to the Processing of the Personal Data; and</w:t>
      </w:r>
      <w:bookmarkStart w:colFirst="0" w:colLast="0" w:name="rju2b94cy45h" w:id="11"/>
      <w:bookmarkEnd w:id="11"/>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3.4.5 </w:t>
        <w:tab/>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rfdgmyahmwkh" w:id="12"/>
    <w:bookmarkEnd w:id="12"/>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3.5 </w:t>
        <w:tab/>
        <w:t xml:space="preserve">Subject to Paragraph 3.6 of this Joint Schedule 10, the Processor  shall notify the Controller immediately if in relation to it Processing Personal Data under or in connection with the Contract it:</w:t>
      </w:r>
    </w:p>
    <w:p w:rsidR="00000000" w:rsidDel="00000000" w:rsidP="00000000" w:rsidRDefault="00000000" w:rsidRPr="00000000" w14:paraId="0000004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receives a Data Subject Access Request (or purported Data Subject Access Request);</w:t>
      </w:r>
    </w:p>
    <w:p w:rsidR="00000000" w:rsidDel="00000000" w:rsidP="00000000" w:rsidRDefault="00000000" w:rsidRPr="00000000" w14:paraId="0000004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receives a request to rectify, block or erase any Personal Data; </w:t>
      </w:r>
    </w:p>
    <w:p w:rsidR="00000000" w:rsidDel="00000000" w:rsidP="00000000" w:rsidRDefault="00000000" w:rsidRPr="00000000" w14:paraId="0000004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receives any other request, complaint or communication relating to either Party's obligations under the Data Protection Legislation; </w:t>
      </w:r>
    </w:p>
    <w:p w:rsidR="00000000" w:rsidDel="00000000" w:rsidP="00000000" w:rsidRDefault="00000000" w:rsidRPr="00000000" w14:paraId="000000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becomes aware of a Data Loss Event.</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3.6</w:t>
        <w:tab/>
        <w:t xml:space="preserve">The Processor’s obligation to notify under Paragraph 3.5 of this Joint Schedule 10 shall include the provision of further information to the Controller, as details become available.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3.7</w:t>
        <w:tab/>
        <w:t xml:space="preserve">Taking into account the nature of the Processing, the Processor shall provide the Controller with assistance in relation to either Party's obligations under Data Protection Legislation and any complaint, communication or request made under Paragraph 3.5 of this Joint Schedule 10 (and insofar as possible within the timescales reasonably required by the Controller) including by immediately providing:</w:t>
      </w:r>
    </w:p>
    <w:p w:rsidR="00000000" w:rsidDel="00000000" w:rsidP="00000000" w:rsidRDefault="00000000" w:rsidRPr="00000000" w14:paraId="00000049">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Controller with full details and copies of the complaint, communication or request;</w:t>
      </w:r>
    </w:p>
    <w:p w:rsidR="00000000" w:rsidDel="00000000" w:rsidP="00000000" w:rsidRDefault="00000000" w:rsidRPr="00000000" w14:paraId="0000004A">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assistance as is reasonably requested by the Controller to enable the it to comply with a Data Subject Access Request within the relevant timescales set out in the Data Protection Legislation; </w:t>
      </w:r>
    </w:p>
    <w:p w:rsidR="00000000" w:rsidDel="00000000" w:rsidP="00000000" w:rsidRDefault="00000000" w:rsidRPr="00000000" w14:paraId="0000004B">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Controller, at its request, with any Personal Data it holds in relation to a Data Subject; </w:t>
      </w:r>
    </w:p>
    <w:p w:rsidR="00000000" w:rsidDel="00000000" w:rsidP="00000000" w:rsidRDefault="00000000" w:rsidRPr="00000000" w14:paraId="0000004C">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assistance as requested by the Controller following any Data Loss Event; and/or</w:t>
      </w:r>
    </w:p>
    <w:p w:rsidR="00000000" w:rsidDel="00000000" w:rsidP="00000000" w:rsidRDefault="00000000" w:rsidRPr="00000000" w14:paraId="0000004D">
      <w:pPr>
        <w:keepNext w:val="0"/>
        <w:keepLines w:val="0"/>
        <w:pageBreakBefore w:val="0"/>
        <w:widowControl w:val="1"/>
        <w:numPr>
          <w:ilvl w:val="2"/>
          <w:numId w:val="2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3.8</w:t>
        <w:tab/>
        <w:t xml:space="preserve">The Processor shall maintain complete and accurate records and information to demonstrate its compliance with this Joint Schedule 10. This requirement does not apply where the Processor employs fewer than two hundred and fifty (250) staff, unless:</w:t>
      </w:r>
    </w:p>
    <w:p w:rsidR="00000000" w:rsidDel="00000000" w:rsidP="00000000" w:rsidRDefault="00000000" w:rsidRPr="00000000" w14:paraId="0000004F">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Controller determines that the Processing is not occasional;</w:t>
      </w:r>
    </w:p>
    <w:p w:rsidR="00000000" w:rsidDel="00000000" w:rsidP="00000000" w:rsidRDefault="00000000" w:rsidRPr="00000000" w14:paraId="00000050">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bookmarkStart w:colFirst="0" w:colLast="0" w:name="_betwtbfew0ca" w:id="13"/>
      <w:bookmarkEnd w:id="1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51">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Controller determines that the Processing is likely to result in a risk to the rights and freedoms of Data Subjects.</w:t>
      </w:r>
    </w:p>
    <w:bookmarkStart w:colFirst="0" w:colLast="0" w:name="wyyzrpc9kym6" w:id="14"/>
    <w:bookmarkEnd w:id="14"/>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3.9</w:t>
        <w:tab/>
        <w:t xml:space="preserve">The Processor shall allow for audits of its Data Processing activity by the Controller or the Controller’s designated auditor.</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3.10</w:t>
        <w:tab/>
        <w:t xml:space="preserve">The Parties shall designate a Data Protection Officer if required by the Data Protection Legislation.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3.11</w:t>
        <w:tab/>
        <w:t xml:space="preserve">Before allowing any Subprocessor to Process any Personal Data related to the Contract, the Processor must:</w:t>
      </w:r>
    </w:p>
    <w:p w:rsidR="00000000" w:rsidDel="00000000" w:rsidP="00000000" w:rsidRDefault="00000000" w:rsidRPr="00000000" w14:paraId="00000055">
      <w:pPr>
        <w:keepNext w:val="0"/>
        <w:keepLines w:val="0"/>
        <w:pageBreakBefore w:val="0"/>
        <w:widowControl w:val="1"/>
        <w:numPr>
          <w:ilvl w:val="2"/>
          <w:numId w:val="24"/>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Controller in writing of the intended Subprocessor and Processing;</w:t>
      </w:r>
    </w:p>
    <w:p w:rsidR="00000000" w:rsidDel="00000000" w:rsidP="00000000" w:rsidRDefault="00000000" w:rsidRPr="00000000" w14:paraId="00000056">
      <w:pPr>
        <w:keepNext w:val="0"/>
        <w:keepLines w:val="0"/>
        <w:pageBreakBefore w:val="0"/>
        <w:widowControl w:val="1"/>
        <w:numPr>
          <w:ilvl w:val="2"/>
          <w:numId w:val="24"/>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obtain the written consent of the Controller; </w:t>
      </w:r>
    </w:p>
    <w:p w:rsidR="00000000" w:rsidDel="00000000" w:rsidP="00000000" w:rsidRDefault="00000000" w:rsidRPr="00000000" w14:paraId="00000057">
      <w:pPr>
        <w:keepNext w:val="0"/>
        <w:keepLines w:val="0"/>
        <w:pageBreakBefore w:val="0"/>
        <w:widowControl w:val="1"/>
        <w:numPr>
          <w:ilvl w:val="2"/>
          <w:numId w:val="24"/>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enter into a written agreement with the Subprocessor which gives effect to the terms set out in this Joint Schedule 10 such that they apply to the Subprocessor; and</w:t>
      </w:r>
    </w:p>
    <w:p w:rsidR="00000000" w:rsidDel="00000000" w:rsidP="00000000" w:rsidRDefault="00000000" w:rsidRPr="00000000" w14:paraId="00000058">
      <w:pPr>
        <w:keepNext w:val="0"/>
        <w:keepLines w:val="0"/>
        <w:pageBreakBefore w:val="0"/>
        <w:widowControl w:val="1"/>
        <w:numPr>
          <w:ilvl w:val="2"/>
          <w:numId w:val="24"/>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Controller with such information regarding the Subprocessor as the Controller may reasonably require.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3.12</w:t>
        <w:tab/>
        <w:t xml:space="preserve">The Processor shall remain fully liable for all acts or omissions of any of its Subprocessors.</w:t>
      </w:r>
    </w:p>
    <w:bookmarkStart w:colFirst="0" w:colLast="0" w:name="tnlor9i7kbri" w:id="15"/>
    <w:bookmarkEnd w:id="15"/>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3.13</w:t>
        <w:tab/>
        <w:t xml:space="preserve">The Relevant Authority may, at any time on not less than thirty (30) Working Days’ notice, revise this Joint Schedule 10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3.14</w:t>
        <w:tab/>
        <w:t xml:space="preserve">The Parties agree to take account of any guidance issued by the Information Commissioner’s Office, any relevant Central Government Body and/or any other regulatory authority. The Relevant Authority may on not less than thirty (30) Working Days’ notice to the Supplier amend the Contract to ensure that it complies with any guidance issued by the Information Commissioner’s Office, relevant Central Government Body and/or any other regulatory authority. </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4.</w:t>
        <w:tab/>
        <w:t xml:space="preserve">Where the Parties are Joint Controllers of Personal Data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that the Parties are Joint Controllers in respect of Personal Data under the Contract, the Parties shall implement Paragraphs that are necessary to comply with UK GDPR Article 26 based on the terms set out in Annex 2 (Joint Controllers Agreement) to this Joint Schedule 10. </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5.</w:t>
        <w:tab/>
        <w:t xml:space="preserve">Independent Controllers of Personal Data </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5.1</w:t>
        <w:tab/>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5.2</w:t>
        <w:tab/>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5.3</w:t>
        <w:tab/>
        <w:t xml:space="preserve">Where a Party has provided Personal Data to the other Party in accordance with Paragraph 5.2 of this Joint Schedule 10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5.4</w:t>
        <w:tab/>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6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shall only provide Personal Data to each other:</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5.5.1</w:t>
        <w:tab/>
        <w:t xml:space="preserve">to the extent necessary to perform their respective obligations under the Contract;</w:t>
      </w:r>
    </w:p>
    <w:p w:rsidR="00000000" w:rsidDel="00000000" w:rsidP="00000000" w:rsidRDefault="00000000" w:rsidRPr="00000000" w14:paraId="00000065">
      <w:pPr>
        <w:keepNext w:val="0"/>
        <w:keepLines w:val="0"/>
        <w:pageBreakBefore w:val="0"/>
        <w:widowControl w:val="1"/>
        <w:numPr>
          <w:ilvl w:val="2"/>
          <w:numId w:val="2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compliance with the Data Protection Legislation (including by ensuring all required fair processing information has been given to affected Data Subjects:</w:t>
      </w:r>
    </w:p>
    <w:p w:rsidR="00000000" w:rsidDel="00000000" w:rsidP="00000000" w:rsidRDefault="00000000" w:rsidRPr="00000000" w14:paraId="00000066">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provision of Personal Data from one Party to another involves transfer of such data to outside the UK and/or the EEA, if the prior written consent of the non-transferring Party has been obtained and the following conditions are fulfilled:</w:t>
      </w:r>
    </w:p>
    <w:p w:rsidR="00000000" w:rsidDel="00000000" w:rsidP="00000000" w:rsidRDefault="00000000" w:rsidRPr="00000000" w14:paraId="00000067">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destination country (and if applicable the entity receiving the Personal Data) has been recognised as adequate by the UK government in accordance with Article 45 of the UK GDPR or DPA 2018 Section 74A and/or Article 45 of the EU GDPR (where applicable), provided that if the destination country of a transfer is the United States:</w:t>
      </w:r>
    </w:p>
    <w:p w:rsidR="00000000" w:rsidDel="00000000" w:rsidP="00000000" w:rsidRDefault="00000000" w:rsidRPr="00000000" w14:paraId="00000068">
      <w:pPr>
        <w:keepNext w:val="0"/>
        <w:keepLines w:val="0"/>
        <w:pageBreakBefore w:val="0"/>
        <w:widowControl w:val="1"/>
        <w:numPr>
          <w:ilvl w:val="5"/>
          <w:numId w:val="17"/>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prior to the transfer of any Personal Data to the United States relying on this adequacy (including to any United States-based Subcontractors and/or Subprocessors), the Supplier (and/or the applicable Subcontractor and/or Subprocessor) must be self-certified and continue to be self-certified on the US Data Privacy Framework;  </w:t>
      </w:r>
    </w:p>
    <w:p w:rsidR="00000000" w:rsidDel="00000000" w:rsidP="00000000" w:rsidRDefault="00000000" w:rsidRPr="00000000" w14:paraId="00000069">
      <w:pPr>
        <w:keepNext w:val="0"/>
        <w:keepLines w:val="0"/>
        <w:pageBreakBefore w:val="0"/>
        <w:widowControl w:val="1"/>
        <w:numPr>
          <w:ilvl w:val="5"/>
          <w:numId w:val="17"/>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notify the Buyer immediately if there are any, or there are reasonable grounds to believe there may be any, changes in respect of their and/or their Subcontractor's or Subprocessor's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5.5.2(a)(i); and </w:t>
      </w:r>
    </w:p>
    <w:p w:rsidR="00000000" w:rsidDel="00000000" w:rsidP="00000000" w:rsidRDefault="00000000" w:rsidRPr="00000000" w14:paraId="0000006A">
      <w:pPr>
        <w:keepNext w:val="0"/>
        <w:keepLines w:val="0"/>
        <w:pageBreakBefore w:val="0"/>
        <w:widowControl w:val="1"/>
        <w:numPr>
          <w:ilvl w:val="5"/>
          <w:numId w:val="17"/>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that the Supplier (and/or the applicable Subcontractor or Subprocessor):  </w:t>
      </w:r>
    </w:p>
    <w:p w:rsidR="00000000" w:rsidDel="00000000" w:rsidP="00000000" w:rsidRDefault="00000000" w:rsidRPr="00000000" w14:paraId="0000006B">
      <w:pPr>
        <w:keepNext w:val="0"/>
        <w:keepLines w:val="0"/>
        <w:pageBreakBefore w:val="0"/>
        <w:widowControl w:val="1"/>
        <w:numPr>
          <w:ilvl w:val="6"/>
          <w:numId w:val="17"/>
        </w:numPr>
        <w:pBdr>
          <w:top w:space="0" w:sz="0" w:val="nil"/>
          <w:left w:space="0" w:sz="0" w:val="nil"/>
          <w:bottom w:space="0" w:sz="0" w:val="nil"/>
          <w:right w:space="0" w:sz="0" w:val="nil"/>
          <w:between w:space="0" w:sz="0" w:val="nil"/>
        </w:pBdr>
        <w:shd w:fill="auto" w:val="clear"/>
        <w:spacing w:after="120" w:before="120" w:line="240" w:lineRule="auto"/>
        <w:ind w:left="5387" w:right="0" w:hanging="851.0000000000002"/>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ceases to be certified on the US Data Privacy Framework and the Supplier does not put in place the alternative data transfer mechanisms required for compliance with this Paragraph 5.5.2(a)(i); </w:t>
      </w:r>
    </w:p>
    <w:p w:rsidR="00000000" w:rsidDel="00000000" w:rsidP="00000000" w:rsidRDefault="00000000" w:rsidRPr="00000000" w14:paraId="0000006C">
      <w:pPr>
        <w:keepNext w:val="0"/>
        <w:keepLines w:val="0"/>
        <w:pageBreakBefore w:val="0"/>
        <w:widowControl w:val="1"/>
        <w:numPr>
          <w:ilvl w:val="6"/>
          <w:numId w:val="17"/>
        </w:numPr>
        <w:pBdr>
          <w:top w:space="0" w:sz="0" w:val="nil"/>
          <w:left w:space="0" w:sz="0" w:val="nil"/>
          <w:bottom w:space="0" w:sz="0" w:val="nil"/>
          <w:right w:space="0" w:sz="0" w:val="nil"/>
          <w:between w:space="0" w:sz="0" w:val="nil"/>
        </w:pBdr>
        <w:shd w:fill="auto" w:val="clear"/>
        <w:spacing w:after="120" w:before="120" w:line="240" w:lineRule="auto"/>
        <w:ind w:left="5387"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US Data Privacy Framework is no longer available and the Supplier does not put in place the alternative data transfer mechanisms required for compliance with this Paragraph 5.5.2(a)(i); and/or </w:t>
      </w:r>
    </w:p>
    <w:p w:rsidR="00000000" w:rsidDel="00000000" w:rsidP="00000000" w:rsidRDefault="00000000" w:rsidRPr="00000000" w14:paraId="0000006D">
      <w:pPr>
        <w:keepNext w:val="0"/>
        <w:keepLines w:val="0"/>
        <w:pageBreakBefore w:val="0"/>
        <w:widowControl w:val="1"/>
        <w:numPr>
          <w:ilvl w:val="6"/>
          <w:numId w:val="17"/>
        </w:numPr>
        <w:pBdr>
          <w:top w:space="0" w:sz="0" w:val="nil"/>
          <w:left w:space="0" w:sz="0" w:val="nil"/>
          <w:bottom w:space="0" w:sz="0" w:val="nil"/>
          <w:right w:space="0" w:sz="0" w:val="nil"/>
          <w:between w:space="0" w:sz="0" w:val="nil"/>
        </w:pBdr>
        <w:shd w:fill="auto" w:val="clear"/>
        <w:spacing w:after="120" w:before="120" w:line="240" w:lineRule="auto"/>
        <w:ind w:left="5387"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fails to notify the Buyer of any changes to its certification status in accordance with Paragraph 5.5.2(a)(i)(B) above,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5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have the right to terminate this Contract with immediate effect; or</w:t>
      </w:r>
    </w:p>
    <w:p w:rsidR="00000000" w:rsidDel="00000000" w:rsidP="00000000" w:rsidRDefault="00000000" w:rsidRPr="00000000" w14:paraId="0000006F">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transferring Party has provided appropriate safeguards in relation to the transfer (whether in accordance with Article 46 of the UK GDPR or DPA 2018 Section 75 and/or Article 46 of the EU GDPR (where applicable)) as determined by the non-transferring Party which could include:</w:t>
      </w:r>
    </w:p>
    <w:p w:rsidR="00000000" w:rsidDel="00000000" w:rsidP="00000000" w:rsidRDefault="00000000" w:rsidRPr="00000000" w14:paraId="00000070">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transfer is subject to UK GDPR:</w:t>
      </w:r>
    </w:p>
    <w:p w:rsidR="00000000" w:rsidDel="00000000" w:rsidP="00000000" w:rsidRDefault="00000000" w:rsidRPr="00000000" w14:paraId="00000071">
      <w:pPr>
        <w:keepNext w:val="0"/>
        <w:keepLines w:val="0"/>
        <w:pageBreakBefore w:val="0"/>
        <w:widowControl w:val="1"/>
        <w:numPr>
          <w:ilvl w:val="5"/>
          <w:numId w:val="17"/>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International Data Transfer Agreement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IDTA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published by the Information Commissioner’s Office or such updated version of such IDTA as is published by the Information Commissioner’s Office under section 119A(1) of the DPA 2018 from time to time; or</w:t>
      </w:r>
    </w:p>
    <w:p w:rsidR="00000000" w:rsidDel="00000000" w:rsidP="00000000" w:rsidRDefault="00000000" w:rsidRPr="00000000" w14:paraId="00000072">
      <w:pPr>
        <w:keepNext w:val="0"/>
        <w:keepLines w:val="0"/>
        <w:pageBreakBefore w:val="0"/>
        <w:widowControl w:val="1"/>
        <w:numPr>
          <w:ilvl w:val="5"/>
          <w:numId w:val="17"/>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European Commission’s Standard Contractual Clauses per decision 2021/914/EU or such updated version of such Standard Contractual Clauses as are published by the European Commission from time to time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EU SCCs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together with the UK International Data Transfer Agreement Addendum to the EU SCCs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Addendum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published by the Information Commissioner’s Office from time to time; and/or</w:t>
      </w:r>
    </w:p>
    <w:p w:rsidR="00000000" w:rsidDel="00000000" w:rsidP="00000000" w:rsidRDefault="00000000" w:rsidRPr="00000000" w14:paraId="00000073">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transfer is subject to EU GDPR, the EU SCCs, </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firstLine="4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well as any additional measures determined by the Controller being implemented by the importing party;</w:t>
      </w:r>
    </w:p>
    <w:p w:rsidR="00000000" w:rsidDel="00000000" w:rsidP="00000000" w:rsidRDefault="00000000" w:rsidRPr="00000000" w14:paraId="00000075">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Subject has enforceable rights and effective legal remedies;</w:t>
      </w:r>
    </w:p>
    <w:p w:rsidR="00000000" w:rsidDel="00000000" w:rsidP="00000000" w:rsidRDefault="00000000" w:rsidRPr="00000000" w14:paraId="00000076">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77">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 and</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4.5.4 </w:t>
        <w:tab/>
        <w:t xml:space="preserve">where it has recorded it in Annex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Personal Data).</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5.6</w:t>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5.7</w:t>
        <w:tab/>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5.8</w:t>
        <w:tab/>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(“Request Recipient”)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C">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7D">
      <w:pPr>
        <w:keepNext w:val="0"/>
        <w:keepLines w:val="0"/>
        <w:pageBreakBefore w:val="0"/>
        <w:widowControl w:val="1"/>
        <w:numPr>
          <w:ilvl w:val="2"/>
          <w:numId w:val="1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7E">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7F">
      <w:pPr>
        <w:keepNext w:val="0"/>
        <w:keepLines w:val="0"/>
        <w:pageBreakBefore w:val="0"/>
        <w:widowControl w:val="1"/>
        <w:numPr>
          <w:ilvl w:val="3"/>
          <w:numId w:val="11"/>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5.9</w:t>
        <w:tab/>
        <w:t xml:space="preserve">Each Party shall promptly notify the other Party upon it becoming aware of any Data Loss Event relating to Personal Data provided by the other Party pursuant to the Contract and shall: </w:t>
      </w:r>
    </w:p>
    <w:p w:rsidR="00000000" w:rsidDel="00000000" w:rsidP="00000000" w:rsidRDefault="00000000" w:rsidRPr="00000000" w14:paraId="0000008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 all such things as reasonably necessary to assist the other Party in mitigating the effects of the Personal Data Breach; </w:t>
      </w:r>
    </w:p>
    <w:p w:rsidR="00000000" w:rsidDel="00000000" w:rsidP="00000000" w:rsidRDefault="00000000" w:rsidRPr="00000000" w14:paraId="0000008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implement any measures necessary to restore the security of any compromised Personal Data; </w:t>
      </w:r>
    </w:p>
    <w:p w:rsidR="00000000" w:rsidDel="00000000" w:rsidP="00000000" w:rsidRDefault="00000000" w:rsidRPr="00000000" w14:paraId="0000008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p>
    <w:p w:rsidR="00000000" w:rsidDel="00000000" w:rsidP="00000000" w:rsidRDefault="00000000" w:rsidRPr="00000000" w14:paraId="0000008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5.10</w:t>
        <w:tab/>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5.11</w:t>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(Processing Personal Data)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5.12</w:t>
        <w:tab/>
        <w:t xml:space="preserve">Notwithstanding the general application of Paragraphs 3.1 to 3.14 of this Joint Schedule 10 to Personal Data, where the Supplier is required to exercise its regulatory and/or legal obligations in respect of Personal Data, it shall act as an Independent Controller of Personal Data in accordance with Paragraphs 5.2 to 5.12 of this Joint Schedule 10.</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pStyle w:val="Heading2"/>
        <w:spacing w:after="120" w:before="120" w:lineRule="auto"/>
        <w:ind w:left="709" w:hanging="709"/>
        <w:rPr>
          <w:rFonts w:ascii="Arial" w:cs="Arial" w:eastAsia="Arial" w:hAnsi="Arial"/>
          <w:b w:val="0"/>
          <w:bCs w:val="0"/>
          <w:sz w:val="36"/>
          <w:szCs w:val="36"/>
        </w:rPr>
      </w:pPr>
      <w:r w:rsidDel="00000000" w:rsidR="00000000" w:rsidRPr="00000000">
        <w:br w:type="page"/>
      </w:r>
      <w:r w:rsidDel="00000000" w:rsidR="00000000" w:rsidRPr="00000000">
        <w:rPr>
          <w:rFonts w:ascii="Arial" w:cs="Arial" w:eastAsia="Arial" w:hAnsi="Arial"/>
          <w:sz w:val="36"/>
          <w:szCs w:val="36"/>
          <w:rtl w:val="0"/>
        </w:rPr>
        <w:t xml:space="preserve">Annex 1 - Processing Personal Data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Annex shall be completed by the Controller, who may take account of the view of the Processor, however the final decision as to the content of this Annex shall be with the Relevant Authority at its absolute discretion.  </w:t>
      </w:r>
    </w:p>
    <w:p w:rsidR="00000000" w:rsidDel="00000000" w:rsidP="00000000" w:rsidRDefault="00000000" w:rsidRPr="00000000" w14:paraId="0000008B">
      <w:pPr>
        <w:keepNext w:val="1"/>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contact details of the Relevant Authority’s Data Protection Officer are: </w:t>
      </w:r>
      <w:r w:rsidDel="00000000" w:rsidR="00000000" w:rsidRPr="00000000">
        <w:rPr>
          <w:b w:val="1"/>
          <w:bCs w:val="1"/>
          <w:highlight w:val="yellow"/>
          <w:rtl w:val="0"/>
        </w:rPr>
        <w:t xml:space="preserve">[Insert</w:t>
      </w:r>
      <w:r w:rsidDel="00000000" w:rsidR="00000000" w:rsidRPr="00000000">
        <w:rPr>
          <w:highlight w:val="yellow"/>
          <w:rtl w:val="0"/>
        </w:rPr>
        <w:t xml:space="preserve"> Contact details]</w:t>
      </w:r>
      <w:r w:rsidDel="00000000" w:rsidR="00000000" w:rsidRPr="00000000">
        <w:rPr>
          <w:rtl w:val="0"/>
        </w:rPr>
      </w:r>
    </w:p>
    <w:p w:rsidR="00000000" w:rsidDel="00000000" w:rsidP="00000000" w:rsidRDefault="00000000" w:rsidRPr="00000000" w14:paraId="0000008C">
      <w:pPr>
        <w:keepNext w:val="1"/>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contact details of the Supplier’s Data Protection Officer are: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Contact details]</w:t>
      </w:r>
      <w:r w:rsidDel="00000000" w:rsidR="00000000" w:rsidRPr="00000000">
        <w:rPr>
          <w:rtl w:val="0"/>
        </w:rPr>
      </w:r>
    </w:p>
    <w:p w:rsidR="00000000" w:rsidDel="00000000" w:rsidP="00000000" w:rsidRDefault="00000000" w:rsidRPr="00000000" w14:paraId="0000008D">
      <w:pPr>
        <w:keepNext w:val="1"/>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Processor shall comply with any further written instructions with respect to Processing by the Controller.</w:t>
      </w:r>
    </w:p>
    <w:p w:rsidR="00000000" w:rsidDel="00000000" w:rsidP="00000000" w:rsidRDefault="00000000" w:rsidRPr="00000000" w14:paraId="0000008E">
      <w:pPr>
        <w:keepNext w:val="1"/>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such further instructions shall be incorporated into this Annex.</w:t>
      </w:r>
    </w:p>
    <w:p w:rsidR="00000000" w:rsidDel="00000000" w:rsidP="00000000" w:rsidRDefault="00000000" w:rsidRPr="00000000" w14:paraId="0000008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the Buyer will be the Controller, and the Supplier the Processor in the vast majority of cases. If you believe another data processing scenario applies, such as the Parties being Joint or Independent Controllers, you </w:t>
      </w:r>
      <w:r w:rsidDel="00000000" w:rsidR="00000000" w:rsidRPr="00000000">
        <w:rPr>
          <w:rFonts w:ascii="Arial" w:cs="Arial" w:eastAsia="Arial" w:hAnsi="Arial"/>
          <w:b w:val="1"/>
          <w:bCs w:val="1"/>
          <w:i w:val="1"/>
          <w:iCs w:val="1"/>
          <w:smallCaps w:val="0"/>
          <w:strike w:val="0"/>
          <w:color w:val="000000"/>
          <w:sz w:val="24"/>
          <w:szCs w:val="24"/>
          <w:highlight w:val="yellow"/>
          <w:u w:val="single"/>
          <w:vertAlign w:val="baseline"/>
          <w:rtl w:val="0"/>
        </w:rPr>
        <w:t xml:space="preserve">must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speak to your data protection team or DPO.]</w:t>
      </w:r>
      <w:r w:rsidDel="00000000" w:rsidR="00000000" w:rsidRPr="00000000">
        <w:rPr>
          <w:rtl w:val="0"/>
        </w:rPr>
      </w:r>
    </w:p>
    <w:p w:rsidR="00000000" w:rsidDel="00000000" w:rsidP="00000000" w:rsidRDefault="00000000" w:rsidRPr="00000000" w14:paraId="0000009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Identity of Controller and Processor for each Category of Personal Data</w:t>
            </w:r>
          </w:p>
        </w:tc>
        <w:tc>
          <w:tcPr>
            <w:shd w:fill="auto"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The Relevant Authority is Controller and the Supplier is Processor</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acknowledge that in accordance with Paragraph 2 and for the purposes of the Data Protection Legislation, the Relevant Authority is the Controller and the Supplier is the Processor of the following Personal Data:</w:t>
            </w:r>
          </w:p>
          <w:p w:rsidR="00000000" w:rsidDel="00000000" w:rsidP="00000000" w:rsidRDefault="00000000" w:rsidRPr="00000000" w14:paraId="0000009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720" w:right="0" w:hanging="360"/>
              <w:jc w:val="left"/>
              <w:rPr>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Supplier personnel data in order for them to bid for a place on the framework agreement, </w:t>
            </w:r>
          </w:p>
          <w:p w:rsidR="00000000" w:rsidDel="00000000" w:rsidP="00000000" w:rsidRDefault="00000000" w:rsidRPr="00000000" w14:paraId="0000009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720" w:right="0" w:hanging="360"/>
              <w:jc w:val="left"/>
              <w:rPr>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customer/buyer personal data to engage with in order to ensure their requirements are met within this framework agreement.</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matter of the Processing</w:t>
            </w:r>
          </w:p>
        </w:tc>
        <w:tc>
          <w:tcPr>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processing is needed in order to ensure that the Processor can effectively deliver the contract to onboard successful bidders through a framework procurement process, to effectively deliver their services under FWA RM6347</w:t>
            </w: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Duration of the Processing</w:t>
            </w:r>
          </w:p>
        </w:tc>
        <w:tc>
          <w:tcPr>
            <w:shd w:fill="auto"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Up to 8 years</w:t>
            </w:r>
            <w:r w:rsidDel="00000000" w:rsidR="00000000" w:rsidRPr="00000000">
              <w:rPr>
                <w:rtl w:val="0"/>
              </w:rPr>
            </w:r>
          </w:p>
        </w:tc>
      </w:tr>
      <w:tr>
        <w:trPr>
          <w:cantSplit w:val="0"/>
          <w:trHeight w:val="699" w:hRule="atLeast"/>
          <w:tblHeader w:val="0"/>
        </w:trPr>
        <w:tc>
          <w:tcPr>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Nature and purposes of the Processing</w:t>
            </w:r>
          </w:p>
        </w:tc>
        <w:tc>
          <w:tcPr>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The purpose is to run a procurement exercise for RM6347, and to continue to administer that FWA as the contracting authority, or words to that effect.</w:t>
            </w:r>
            <w:r w:rsidDel="00000000" w:rsidR="00000000" w:rsidRPr="00000000">
              <w:rPr>
                <w:rtl w:val="0"/>
              </w:rPr>
            </w:r>
          </w:p>
        </w:tc>
      </w:tr>
      <w:tr>
        <w:trPr>
          <w:cantSplit w:val="0"/>
          <w:trHeight w:val="837" w:hRule="atLeast"/>
          <w:tblHeader w:val="0"/>
        </w:trPr>
        <w:tc>
          <w:tcPr>
            <w:shd w:fill="auto" w:val="cle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Type of Personal Data</w:t>
            </w:r>
          </w:p>
        </w:tc>
        <w:tc>
          <w:tcPr>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Supplier personnel name, email.</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Supplier addresses, addresses of organisations managed from a personal address.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Names and associated data of persons of significant control</w:t>
            </w:r>
          </w:p>
        </w:tc>
      </w:tr>
      <w:tr>
        <w:trPr>
          <w:cantSplit w:val="0"/>
          <w:trHeight w:val="1560" w:hRule="atLeast"/>
          <w:tblHeader w:val="0"/>
        </w:trPr>
        <w:tc>
          <w:tcPr>
            <w:shd w:fill="auto" w:val="clea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Categories of Data Subject</w:t>
            </w:r>
          </w:p>
        </w:tc>
        <w:tc>
          <w:tcPr>
            <w:shd w:fill="auto" w:val="cle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supplier key personnel, contract signatories, customers/buyers where you are bringing together suppliers/customers for the purposes of pre-market engagement</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Plan for return and destruction of the data once the Processing is complete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requirement under law to preserve that type of data</w:t>
            </w:r>
          </w:p>
        </w:tc>
        <w:tc>
          <w:tcPr>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Data will be retained for 2 years after the end of the contract</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Locations at which the Supplier and/or its Sub-contractors process Personal Data under this Contract and international transfers and legal gateway</w:t>
            </w:r>
          </w:p>
        </w:tc>
        <w:tc>
          <w:tcPr>
            <w:shd w:fill="auto"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Clearly identify each location, explain where geographically personal data may be stored or accessed from. Explain the legal gateway you are relying on to export the data e.g. adequacy decision, EU SCCs, UK IDTA. Annex any SCCs or IDTA to this contract]]</w:t>
            </w:r>
            <w:r w:rsidDel="00000000" w:rsidR="00000000" w:rsidRPr="00000000">
              <w:rPr>
                <w:rtl w:val="0"/>
              </w:rPr>
            </w:r>
          </w:p>
        </w:tc>
      </w:tr>
      <w:tr>
        <w:trPr>
          <w:cantSplit w:val="0"/>
          <w:trHeight w:val="699" w:hRule="atLeast"/>
          <w:tblHeader w:val="0"/>
        </w:trPr>
        <w:tc>
          <w:tcPr>
            <w:shd w:fill="auto"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Protective Measures that the Supplier and, where applicable, its Sub-contractors have implemented to protect Personal Data processed under the Contract against a breach of security (insofar as that breach of security relates to data) or a Data Loss Event (noting that any Protective Measures are to be in accordance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highlight w:val="cyan"/>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 any Security Requirements)</w:t>
            </w:r>
            <w:r w:rsidDel="00000000" w:rsidR="00000000" w:rsidRPr="00000000">
              <w:rPr>
                <w:rtl w:val="0"/>
              </w:rPr>
            </w:r>
          </w:p>
        </w:tc>
        <w:tc>
          <w:tcPr>
            <w:shd w:fill="auto"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All suppliers must be Cyber Essentials accredited</w:t>
            </w:r>
          </w:p>
        </w:tc>
      </w:tr>
    </w:tbl>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2 - Joint Controller Agreement</w:t>
      </w:r>
      <w:r w:rsidDel="00000000" w:rsidR="00000000" w:rsidRPr="00000000">
        <w:rPr>
          <w:rtl w:val="0"/>
        </w:rPr>
      </w:r>
    </w:p>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 </w:t>
        <w:tab/>
        <w:t xml:space="preserve">Joint Controller Status and Allocation of Responsibilities </w:t>
      </w:r>
    </w:p>
    <w:p w:rsidR="00000000" w:rsidDel="00000000" w:rsidP="00000000" w:rsidRDefault="00000000" w:rsidRPr="00000000" w14:paraId="000000B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eil1so2hwqan" w:id="16"/>
      <w:bookmarkEnd w:id="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 of Joint Schedule 10 (Where one Party is Controller and the other Party is Processor) and Paragraphs 5.2 to 5.12 of Joint Schedule 10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B3">
      <w:pPr>
        <w:keepNext w:val="1"/>
        <w:keepLines w:val="0"/>
        <w:pageBreakBefore w:val="0"/>
        <w:widowControl w:val="1"/>
        <w:numPr>
          <w:ilvl w:val="1"/>
          <w:numId w:val="2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The Parties agree that the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[Supplier/Relevant Authority]: </w:t>
      </w: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1.2.1</w:t>
        <w:tab/>
        <w:t xml:space="preserve">is the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exclusive</w:t>
      </w: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 point of contact for Data Subjects and is responsible for using best endeavours  to comply with the UK GDPR regarding the exercise by Data Subjects of their rights under the UK GDPR;</w:t>
      </w:r>
    </w:p>
    <w:p w:rsidR="00000000" w:rsidDel="00000000" w:rsidP="00000000" w:rsidRDefault="00000000" w:rsidRPr="00000000" w14:paraId="000000B5">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white"/>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white"/>
          <w:u w:val="none"/>
          <w:vertAlign w:val="baselin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6">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7">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B8">
      <w:pPr>
        <w:keepNext w:val="0"/>
        <w:keepLines w:val="0"/>
        <w:pageBreakBefore w:val="0"/>
        <w:widowControl w:val="1"/>
        <w:numPr>
          <w:ilvl w:val="2"/>
          <w:numId w:val="2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[Supplier’s/Relevant Authority’s]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privacy policy (which must be readily available by hyperlink or otherwise on all of its public facing services and marketing).</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 </w:t>
        <w:tab/>
        <w:t xml:space="preserve">Notwithstanding the terms of Paragraph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A">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BB">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the Relevant Authority each undertake that they shall: </w:t>
      </w:r>
    </w:p>
    <w:p w:rsidR="00000000" w:rsidDel="00000000" w:rsidP="00000000" w:rsidRDefault="00000000" w:rsidRPr="00000000" w14:paraId="000000B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report to the other Party every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months on:</w:t>
      </w:r>
    </w:p>
    <w:p w:rsidR="00000000" w:rsidDel="00000000" w:rsidP="00000000" w:rsidRDefault="00000000" w:rsidRPr="00000000" w14:paraId="000000B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smallCaps w:val="0"/>
          <w:strike w:val="0"/>
          <w:color w:val="00000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 xml:space="preserve">the volume of requests from Data Subjects (or third parties on their behalf) to rectify, block or erase any Personal Data; </w:t>
      </w:r>
    </w:p>
    <w:p w:rsidR="00000000" w:rsidDel="00000000" w:rsidP="00000000" w:rsidRDefault="00000000" w:rsidRPr="00000000" w14:paraId="000000B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C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communications from the Information Commissioner or any other regulatory authority in connection with Personal Data; and</w:t>
      </w:r>
    </w:p>
    <w:p w:rsidR="00000000" w:rsidDel="00000000" w:rsidP="00000000" w:rsidRDefault="00000000" w:rsidRPr="00000000" w14:paraId="000000C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that it has received in relation to the subject matter of the Contract during that period; </w:t>
      </w:r>
    </w:p>
    <w:p w:rsidR="00000000" w:rsidDel="00000000" w:rsidP="00000000" w:rsidRDefault="00000000" w:rsidRPr="00000000" w14:paraId="000000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each other immediately if it receives any request, complaint or communication made as referred to in Paragraphs 2.1.1(a) to 2.1.1(e); </w:t>
      </w:r>
    </w:p>
    <w:p w:rsidR="00000000" w:rsidDel="00000000" w:rsidP="00000000" w:rsidRDefault="00000000" w:rsidRPr="00000000" w14:paraId="000000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the other Party with full cooperation and assistance in relation to any request, complaint or communication made as referred to in Paragraphs 2.1.1(c) to (e) to enable the other Party to comply with the relevant timescales set out in the Data Protection Legislation;</w:t>
      </w:r>
    </w:p>
    <w:p w:rsidR="00000000" w:rsidDel="00000000" w:rsidP="00000000" w:rsidRDefault="00000000" w:rsidRPr="00000000" w14:paraId="000000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439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C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best endeavours  to ensure the reliability and integrity of any of its Processor Personnel who have access to the Personal Data and ensure that its Processor Personnel:</w:t>
      </w:r>
    </w:p>
    <w:p w:rsidR="00000000" w:rsidDel="00000000" w:rsidP="00000000" w:rsidRDefault="00000000" w:rsidRPr="00000000" w14:paraId="000000C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it has in place Protective Measures as appropriate to protect against a Data Loss Event having taken account of the:</w:t>
      </w:r>
    </w:p>
    <w:p w:rsidR="00000000" w:rsidDel="00000000" w:rsidP="00000000" w:rsidRDefault="00000000" w:rsidRPr="00000000" w14:paraId="000000C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nature of the data to be protected;</w:t>
      </w:r>
    </w:p>
    <w:p w:rsidR="00000000" w:rsidDel="00000000" w:rsidP="00000000" w:rsidRDefault="00000000" w:rsidRPr="00000000" w14:paraId="000000C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harm that might result from a Data Loss Event;</w:t>
      </w:r>
    </w:p>
    <w:p w:rsidR="00000000" w:rsidDel="00000000" w:rsidP="00000000" w:rsidRDefault="00000000" w:rsidRPr="00000000" w14:paraId="000000C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state of technological development; and</w:t>
      </w:r>
    </w:p>
    <w:p w:rsidR="00000000" w:rsidDel="00000000" w:rsidP="00000000" w:rsidRDefault="00000000" w:rsidRPr="00000000" w14:paraId="000000D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cost of implementing any measures;</w:t>
      </w:r>
    </w:p>
    <w:p w:rsidR="00000000" w:rsidDel="00000000" w:rsidP="00000000" w:rsidRDefault="00000000" w:rsidRPr="00000000" w14:paraId="000000D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rsidR="00000000" w:rsidDel="00000000" w:rsidP="00000000" w:rsidRDefault="00000000" w:rsidRPr="00000000" w14:paraId="000000D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it notifies the other Party as soon as it becomes aware of a Data Loss Event. </w:t>
      </w:r>
    </w:p>
    <w:p w:rsidR="00000000" w:rsidDel="00000000" w:rsidP="00000000" w:rsidRDefault="00000000" w:rsidRPr="00000000" w14:paraId="000000D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transfer such Personal Data outside of the UK and/or the EEA unless the prior written consent of the non-transferring Party has been obtained and the following conditions are fulfilled:</w:t>
      </w:r>
    </w:p>
    <w:p w:rsidR="00000000" w:rsidDel="00000000" w:rsidP="00000000" w:rsidRDefault="00000000" w:rsidRPr="00000000" w14:paraId="000000D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destination country (and if applicable the entity receiving the Personal Data) has been recognised as adequate by the UK government in accordance with Article 45 of the UK GDPR or DPA 2018 Section 74A and/or Article 45 of the EU GDPR (where applicable), provided that if the destination country of a transfer is the United States:</w:t>
      </w:r>
    </w:p>
    <w:p w:rsidR="00000000" w:rsidDel="00000000" w:rsidP="00000000" w:rsidRDefault="00000000" w:rsidRPr="00000000" w14:paraId="000000D5">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ensure that prior to the transfer of any Personal Data to the United States relying on this adequacy (including to any United States-based Subcontractors and/or Subprocessors), the Supplier (and/or the applicable Subcontractor and/or Subprocessor) must be self-certified and continue to be self-certified on the US Data Privacy Framework;  </w:t>
      </w:r>
    </w:p>
    <w:p w:rsidR="00000000" w:rsidDel="00000000" w:rsidP="00000000" w:rsidRDefault="00000000" w:rsidRPr="00000000" w14:paraId="000000D6">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notify the Buyer immediately if there are any, or there are reasonable grounds to believe there may be any, changes in respect of their and/or their Subcontractor's or Subprocessor's position on the US Data Privacy Framework (for example if that entity ceases to be certified or is at risk of being so, or there is a strong likelihood of a competent court finding the US Data Privacy Framework unlawful), and the Supplier must then take all appropriate steps to remedy the certification and/or put in place alternative data transfer mechanisms in compliance with this Paragraph 2.1.11(a); and </w:t>
      </w:r>
    </w:p>
    <w:p w:rsidR="00000000" w:rsidDel="00000000" w:rsidP="00000000" w:rsidRDefault="00000000" w:rsidRPr="00000000" w14:paraId="000000D7">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the event that the Supplier (and/or the applicable Subcontractor or Subprocessor):  </w:t>
      </w:r>
    </w:p>
    <w:p w:rsidR="00000000" w:rsidDel="00000000" w:rsidP="00000000" w:rsidRDefault="00000000" w:rsidRPr="00000000" w14:paraId="000000D8">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ceases to be certified on the US Data Privacy Framework and the Supplier does not put in place the alternative data transfer mechanisms required for compliance with this Paragraph 2.1.11(a); </w:t>
      </w:r>
    </w:p>
    <w:p w:rsidR="00000000" w:rsidDel="00000000" w:rsidP="00000000" w:rsidRDefault="00000000" w:rsidRPr="00000000" w14:paraId="000000D9">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US Data Privacy Framework is no longer available and the Supplier does not put in place the alternative data transfer mechanisms required for compliance with this Paragraph 2.1.11(a); and/or </w:t>
      </w:r>
    </w:p>
    <w:p w:rsidR="00000000" w:rsidDel="00000000" w:rsidP="00000000" w:rsidRDefault="00000000" w:rsidRPr="00000000" w14:paraId="000000DA">
      <w:pPr>
        <w:keepNext w:val="0"/>
        <w:keepLines w:val="0"/>
        <w:pageBreakBefore w:val="0"/>
        <w:widowControl w:val="1"/>
        <w:numPr>
          <w:ilvl w:val="5"/>
          <w:numId w:val="2"/>
        </w:numPr>
        <w:pBdr>
          <w:top w:space="0" w:sz="0" w:val="nil"/>
          <w:left w:space="0" w:sz="0" w:val="nil"/>
          <w:bottom w:space="0" w:sz="0" w:val="nil"/>
          <w:right w:space="0" w:sz="0" w:val="nil"/>
          <w:between w:space="0" w:sz="0" w:val="nil"/>
        </w:pBdr>
        <w:shd w:fill="auto" w:val="clear"/>
        <w:spacing w:after="120" w:before="120" w:line="240" w:lineRule="auto"/>
        <w:ind w:left="4536"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fails to notify the Buyer of any changes to its certification status in accordance with Paragraph 2.1.11(a)(ii) above,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8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have the right to terminate this Contract with immediate effect; or</w:t>
      </w:r>
    </w:p>
    <w:p w:rsidR="00000000" w:rsidDel="00000000" w:rsidP="00000000" w:rsidRDefault="00000000" w:rsidRPr="00000000" w14:paraId="000000D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transferring Party has provided appropriate safeguards in relation to the transfer (whether in accordance with Article 46 of the UK GDPR or DPA 2018 Section 75 and/or Article 46 of the EU GDPR (where applicable) as agreed with the non-transferring Party which could include </w:t>
      </w:r>
    </w:p>
    <w:p w:rsidR="00000000" w:rsidDel="00000000" w:rsidP="00000000" w:rsidRDefault="00000000" w:rsidRPr="00000000" w14:paraId="000000D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transfer is subject to UK GDPR, the UK International Data Transfer Agreement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IDTA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published by the Information Commissioner’s Office under section 119A(1) of the DPA 2018 from time to time; or </w:t>
      </w:r>
    </w:p>
    <w:p w:rsidR="00000000" w:rsidDel="00000000" w:rsidP="00000000" w:rsidRDefault="00000000" w:rsidRPr="00000000" w14:paraId="000000D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European Commission’s Standard Contractual Clauses per decision 2021/914/EU or such updated version of such Standard Contractual Clauses as are published by the European Commission from time to time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EU SCCs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together with the UK International Data Transfer Agreement Addendum to the EU SCCs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Addendum</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as published by the Information Commissioner’s Office from time to time; and/or</w:t>
      </w:r>
    </w:p>
    <w:p w:rsidR="00000000" w:rsidDel="00000000" w:rsidP="00000000" w:rsidRDefault="00000000" w:rsidRPr="00000000" w14:paraId="000000D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transfer is subject to EU GDPR, the EU SCCs.</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well as any additional measures determined by the Controller being implemented by the importing party;</w:t>
      </w:r>
    </w:p>
    <w:p w:rsidR="00000000" w:rsidDel="00000000" w:rsidP="00000000" w:rsidRDefault="00000000" w:rsidRPr="00000000" w14:paraId="000000E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Data Subject has enforceable rights and effective legal remedies;</w:t>
      </w:r>
    </w:p>
    <w:p w:rsidR="00000000" w:rsidDel="00000000" w:rsidP="00000000" w:rsidRDefault="00000000" w:rsidRPr="00000000" w14:paraId="000000E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transferring Party complies with its obligations under Data Protection Legislation by providing an adequate level of protection to any Personal Data that is transferred (or, if it is not so bound, uses its best endeavours to assist the non-transferring Party in meeting its obligations); and</w:t>
      </w:r>
    </w:p>
    <w:p w:rsidR="00000000" w:rsidDel="00000000" w:rsidP="00000000" w:rsidRDefault="00000000" w:rsidRPr="00000000" w14:paraId="000000E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transferring Party complies with any reasonable instructions notified to it in advance by the non-transferring Party with respect to the processing of the Personal Data.</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w:t>
        <w:tab/>
        <w:t xml:space="preserve">Each Joint Controller shall use its best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E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E6">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Paragraph 3.2, each Party shall notify the other Party promptly and without undue delay, and in any event within forty eight (48) hours, upon becoming aware of any Data Loss Event or circumstances that are likely to give rise to a Personal Data Breach, providing the Buyer and its advisors with:</w:t>
      </w:r>
    </w:p>
    <w:p w:rsidR="00000000" w:rsidDel="00000000" w:rsidP="00000000" w:rsidRDefault="00000000" w:rsidRPr="00000000" w14:paraId="000000E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sufficient information and in a timescale which allows the other Party to meet any obligations to report a Data Loss Eventh under the Data Protection Legislation;</w:t>
      </w:r>
    </w:p>
    <w:p w:rsidR="00000000" w:rsidDel="00000000" w:rsidP="00000000" w:rsidRDefault="00000000" w:rsidRPr="00000000" w14:paraId="000000E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reasonable assistance, including:</w:t>
      </w:r>
    </w:p>
    <w:p w:rsidR="00000000" w:rsidDel="00000000" w:rsidP="00000000" w:rsidRDefault="00000000" w:rsidRPr="00000000" w14:paraId="000000E9">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35" w:right="0" w:hanging="874"/>
        <w:jc w:val="left"/>
        <w:rPr>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co-operation with the other Party and the Information Commissioner and any other regulatory authority investigating the Data Loss Event and its cause, containing and recovering the compromised Personal Data and compliance with the applicable guidance;</w:t>
      </w:r>
    </w:p>
    <w:p w:rsidR="00000000" w:rsidDel="00000000" w:rsidP="00000000" w:rsidRDefault="00000000" w:rsidRPr="00000000" w14:paraId="000000E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35" w:right="0" w:hanging="874"/>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co-operation with the other Party including  using such best endeavours  as are directed by the Buyer to assist in the investigation, mitigation and remediation of a Data Loss Event;</w:t>
      </w:r>
    </w:p>
    <w:p w:rsidR="00000000" w:rsidDel="00000000" w:rsidP="00000000" w:rsidRDefault="00000000" w:rsidRPr="00000000" w14:paraId="000000E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35" w:right="0" w:hanging="874"/>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co-ordination with the other Party regarding the management of public relations and public statements relating to the  Data Loss Event; and/or</w:t>
      </w:r>
    </w:p>
    <w:p w:rsidR="00000000" w:rsidDel="00000000" w:rsidP="00000000" w:rsidRDefault="00000000" w:rsidRPr="00000000" w14:paraId="000000E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40" w:lineRule="auto"/>
        <w:ind w:left="2835" w:right="0" w:hanging="874"/>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providing the other Party and to the extent instructed by the other Party to do so, and/or the Information Commissioner and/or any other regulatory authority investigating the Data Loss Event, with complete information relating to the Data Loss Event, including, without limitation, the information set out in Paragraph 3.2.</w:t>
      </w:r>
    </w:p>
    <w:p w:rsidR="00000000" w:rsidDel="00000000" w:rsidP="00000000" w:rsidRDefault="00000000" w:rsidRPr="00000000" w14:paraId="000000ED">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shall use best endeavours  to restore, re-constitute and/or reconstruct any Personal Data where it has  lost, damaged, destroyed, altered or corrupted as a result of a Data Loss Event as it was  that Party’s own data at its own cost with all possible speed and shall provide the other Party with all reasonable assistance in respect of any such  Data Loss Event, including providing the other Party, as soon as possible and within forty eight (48) hours of the Data Loss Event relating to the Data Loss Event, in particular:</w:t>
      </w:r>
    </w:p>
    <w:p w:rsidR="00000000" w:rsidDel="00000000" w:rsidP="00000000" w:rsidRDefault="00000000" w:rsidRPr="00000000" w14:paraId="000000EE">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the Data Loss Event; </w:t>
      </w:r>
    </w:p>
    <w:p w:rsidR="00000000" w:rsidDel="00000000" w:rsidP="00000000" w:rsidRDefault="00000000" w:rsidRPr="00000000" w14:paraId="000000EF">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nature of Personal Data affected;</w:t>
      </w:r>
    </w:p>
    <w:p w:rsidR="00000000" w:rsidDel="00000000" w:rsidP="00000000" w:rsidRDefault="00000000" w:rsidRPr="00000000" w14:paraId="000000F0">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categories and number of Data Subjects concerned;</w:t>
      </w:r>
    </w:p>
    <w:p w:rsidR="00000000" w:rsidDel="00000000" w:rsidP="00000000" w:rsidRDefault="00000000" w:rsidRPr="00000000" w14:paraId="000000F1">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F2">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measures taken or proposed to be taken to address the Data Loss Event; and</w:t>
      </w:r>
    </w:p>
    <w:p w:rsidR="00000000" w:rsidDel="00000000" w:rsidP="00000000" w:rsidRDefault="00000000" w:rsidRPr="00000000" w14:paraId="000000F3">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describe the likely consequences of the Data Loss Event.</w:t>
      </w:r>
    </w:p>
    <w:p w:rsidR="00000000" w:rsidDel="00000000" w:rsidP="00000000" w:rsidRDefault="00000000" w:rsidRPr="00000000" w14:paraId="000000F4">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F5">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permit:</w:t>
        <w:tab/>
      </w:r>
    </w:p>
    <w:p w:rsidR="00000000" w:rsidDel="00000000" w:rsidP="00000000" w:rsidRDefault="00000000" w:rsidRPr="00000000" w14:paraId="000000F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F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F8">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Paragraph 4.1 in lieu of conducting such an audit, assessment or inspection.</w:t>
      </w:r>
    </w:p>
    <w:p w:rsidR="00000000" w:rsidDel="00000000" w:rsidP="00000000" w:rsidRDefault="00000000" w:rsidRPr="00000000" w14:paraId="000000F9">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0FA">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shall:</w:t>
      </w:r>
    </w:p>
    <w:p w:rsidR="00000000" w:rsidDel="00000000" w:rsidP="00000000" w:rsidRDefault="00000000" w:rsidRPr="00000000" w14:paraId="000000F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F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F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to take account of any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0FF">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This Paragraph represents a risk share, the Buyer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financial penalties are imposed by the Information Commissioner or any other regulatory authority on either the Relevant Authority or the Supplier for a Data Loss Event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then the following shall occur:</w:t>
      </w:r>
    </w:p>
    <w:p w:rsidR="00000000" w:rsidDel="00000000" w:rsidP="00000000" w:rsidRDefault="00000000" w:rsidRPr="00000000" w14:paraId="00000102">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in the view of the Information Commissioner or any other regulatory authority, the Relevant Authority is responsible for the Data Loss Event,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Data Loss Event.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103">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in the view of the Information Commissioner or any other regulatory authority, the Supplier is responsible for the Data Loss Event, in that it is not a Data Loss Event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Data Loss Event; or</w:t>
      </w:r>
    </w:p>
    <w:p w:rsidR="00000000" w:rsidDel="00000000" w:rsidP="00000000" w:rsidRDefault="00000000" w:rsidRPr="00000000" w14:paraId="00000104">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no view as to responsibility is expressed by the Information Commissioner or any other regulatory authority,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38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(Resolving disputes)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w:t>
      </w:r>
    </w:p>
    <w:p w:rsidR="00000000" w:rsidDel="00000000" w:rsidP="00000000" w:rsidRDefault="00000000" w:rsidRPr="00000000" w14:paraId="00000105">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Data Loss Event, then unless the Parties otherwise agree, the Party that is determined by the final decision of the court to be responsible for the Data Loss Event shall be liable for the losses arising from such Data Loss Event. Where both Parties are liable, the liability will be apportioned between the Parties in accordance with the decision of the Court.  </w:t>
      </w:r>
    </w:p>
    <w:p w:rsidR="00000000" w:rsidDel="00000000" w:rsidP="00000000" w:rsidRDefault="00000000" w:rsidRPr="00000000" w14:paraId="00000106">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any losses, cost claims or expenses incurred by either Party as a result of a Data Loss Event (the “Claim Losses”):</w:t>
      </w:r>
    </w:p>
    <w:p w:rsidR="00000000" w:rsidDel="00000000" w:rsidP="00000000" w:rsidRDefault="00000000" w:rsidRPr="00000000" w14:paraId="0000010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Relevant Authority is responsible for the relevant Data Loss Event, then the Relevant Authority shall be responsible for the Claim Losses;</w:t>
      </w:r>
    </w:p>
    <w:p w:rsidR="00000000" w:rsidDel="00000000" w:rsidP="00000000" w:rsidRDefault="00000000" w:rsidRPr="00000000" w14:paraId="0000010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responsible for the relevant Data Loss Event, then the Supplier shall be responsible for the Claim Losses: and</w:t>
      </w:r>
    </w:p>
    <w:p w:rsidR="00000000" w:rsidDel="00000000" w:rsidP="00000000" w:rsidRDefault="00000000" w:rsidRPr="00000000" w14:paraId="0000010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responsibility for the relevant Data Loss Event is unclear, then the Relevant Authority and the Supplier shall be responsible for the Claim Losses equally. </w:t>
      </w:r>
    </w:p>
    <w:p w:rsidR="00000000" w:rsidDel="00000000" w:rsidP="00000000" w:rsidRDefault="00000000" w:rsidRPr="00000000" w14:paraId="0000010A">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Nothing in either Paragraph 7.2 or Paragraph 7.3 shall preclude the Relevant Authority and the Supplier reaching any other agreement, including by way of compromise with a third party complainant or claimant, as to the apportionment of financial responsibility for any Claim Losses as a result of a Data Loss Event, having regard to all the circumstances of the Data Loss Event and the legal and financial obligations of the Relevant Authority.</w:t>
      </w:r>
    </w:p>
    <w:p w:rsidR="00000000" w:rsidDel="00000000" w:rsidP="00000000" w:rsidRDefault="00000000" w:rsidRPr="00000000" w14:paraId="0000010B">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is in Material Default under any of its obligations under this Annex 2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Joint Controller Agreement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Relevant Authority shall be entitled to terminate the Contract by issuing a Termination Notice to the Supplier in accordance with Clause 13.3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(When CCS or the Buyer can end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and the consequences of termination in Clause 13.4.1 of the General Terms shall apply.</w:t>
      </w:r>
    </w:p>
    <w:p w:rsidR="00000000" w:rsidDel="00000000" w:rsidP="00000000" w:rsidRDefault="00000000" w:rsidRPr="00000000" w14:paraId="0000010D">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3"/>
          <w:numId w:val="14"/>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p>
    <w:p w:rsidR="00000000" w:rsidDel="00000000" w:rsidP="00000000" w:rsidRDefault="00000000" w:rsidRPr="00000000" w14:paraId="0000010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01" w:right="0" w:hanging="5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1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701" w:right="0" w:hanging="56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that a suitable agreement is in place with the third party as required under applicable Data Protection Legislation.</w:t>
      </w:r>
    </w:p>
    <w:p w:rsidR="00000000" w:rsidDel="00000000" w:rsidP="00000000" w:rsidRDefault="00000000" w:rsidRPr="00000000" w14:paraId="00000111">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i w:val="0"/>
          <w:iCs w:val="0"/>
          <w:smallCaps w:val="0"/>
          <w:strike w:val="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9"/>
        </w:tabs>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bookmarkStart w:colFirst="0" w:colLast="0" w:name="bz96t6m4xb68" w:id="17"/>
    <w:bookmarkEnd w:id="17"/>
    <w:p w:rsidR="00000000" w:rsidDel="00000000" w:rsidP="00000000" w:rsidRDefault="00000000" w:rsidRPr="00000000" w14:paraId="0000011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foxpkf3sd9sd" w:id="18"/>
      <w:bookmarkEnd w:id="18"/>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tab/>
      <w:tab/>
      <w:tab/>
      <w:tab/>
      <w:tab/>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v3.0</w:t>
      <w:tab/>
      <w:tab/>
      <w:tab/>
      <w:tab/>
      <w:tab/>
      <w:tab/>
      <w:tab/>
      <w:tab/>
      <w:tab/>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Joint Schedule 10 (Processing Data)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2024</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-13327</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
      <w:numFmt w:val="decimal"/>
      <w:lvlText w:val="%1"/>
      <w:lvlJc w:val="left"/>
      <w:pPr>
        <w:ind w:left="530" w:hanging="530"/>
      </w:pPr>
      <w:rPr/>
    </w:lvl>
    <w:lvl w:ilvl="1">
      <w:start w:val="1"/>
      <w:numFmt w:val="decimal"/>
      <w:lvlText w:val="%1.%2"/>
      <w:lvlJc w:val="left"/>
      <w:pPr>
        <w:ind w:left="934" w:hanging="530"/>
      </w:pPr>
      <w:rPr/>
    </w:lvl>
    <w:lvl w:ilvl="2">
      <w:start w:val="1"/>
      <w:numFmt w:val="decimal"/>
      <w:lvlText w:val="%1.%2.%3"/>
      <w:lvlJc w:val="left"/>
      <w:pPr>
        <w:ind w:left="1528" w:hanging="719"/>
      </w:pPr>
      <w:rPr/>
    </w:lvl>
    <w:lvl w:ilvl="3">
      <w:start w:val="1"/>
      <w:numFmt w:val="lowerLetter"/>
      <w:lvlText w:val="(%4)"/>
      <w:lvlJc w:val="left"/>
      <w:pPr>
        <w:ind w:left="2292" w:hanging="1080"/>
      </w:pPr>
      <w:rPr>
        <w:rFonts w:ascii="Arial" w:cs="Arial" w:eastAsia="Arial" w:hAnsi="Arial"/>
      </w:rPr>
    </w:lvl>
    <w:lvl w:ilvl="4">
      <w:start w:val="1"/>
      <w:numFmt w:val="lowerRoman"/>
      <w:lvlText w:val="(%5)"/>
      <w:lvlJc w:val="left"/>
      <w:pPr>
        <w:ind w:left="2696" w:hanging="1078"/>
      </w:pPr>
      <w:rPr>
        <w:rFonts w:ascii="Arial" w:cs="Arial" w:eastAsia="Arial" w:hAnsi="Arial"/>
      </w:rPr>
    </w:lvl>
    <w:lvl w:ilvl="5">
      <w:start w:val="1"/>
      <w:numFmt w:val="upperLetter"/>
      <w:lvlText w:val="(%6)"/>
      <w:lvlJc w:val="left"/>
      <w:pPr>
        <w:ind w:left="3460" w:hanging="1440"/>
      </w:pPr>
      <w:rPr>
        <w:rFonts w:ascii="Arial" w:cs="Arial" w:eastAsia="Arial" w:hAnsi="Arial"/>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3">
    <w:lvl w:ilvl="0">
      <w:start w:val="3"/>
      <w:numFmt w:val="decimal"/>
      <w:lvlText w:val="%1"/>
      <w:lvlJc w:val="left"/>
      <w:pPr>
        <w:ind w:left="530" w:hanging="530"/>
      </w:pPr>
      <w:rPr/>
    </w:lvl>
    <w:lvl w:ilvl="1">
      <w:start w:val="1"/>
      <w:numFmt w:val="decimal"/>
      <w:lvlText w:val="%1.%2"/>
      <w:lvlJc w:val="left"/>
      <w:pPr>
        <w:ind w:left="934" w:hanging="530"/>
      </w:pPr>
      <w:rPr/>
    </w:lvl>
    <w:lvl w:ilvl="2">
      <w:start w:val="1"/>
      <w:numFmt w:val="decimal"/>
      <w:lvlText w:val="%1.%2.%3"/>
      <w:lvlJc w:val="left"/>
      <w:pPr>
        <w:ind w:left="1528" w:hanging="719"/>
      </w:pPr>
      <w:rPr/>
    </w:lvl>
    <w:lvl w:ilvl="3">
      <w:start w:val="1"/>
      <w:numFmt w:val="lowerLetter"/>
      <w:lvlText w:val="(%4)"/>
      <w:lvlJc w:val="left"/>
      <w:pPr>
        <w:ind w:left="2292" w:hanging="1080"/>
      </w:pPr>
      <w:rPr>
        <w:rFonts w:ascii="Arial" w:cs="Arial" w:eastAsia="Arial" w:hAnsi="Arial"/>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4">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Letter"/>
      <w:lvlText w:val="(%4)"/>
      <w:lvlJc w:val="left"/>
      <w:pPr>
        <w:ind w:left="2126" w:hanging="708"/>
      </w:pPr>
      <w:rPr>
        <w:rFonts w:ascii="Arial" w:cs="Arial" w:eastAsia="Arial" w:hAnsi="Arial"/>
        <w:b w:val="0"/>
        <w:bCs w:val="0"/>
        <w:i w:val="0"/>
        <w:iCs w:val="0"/>
        <w:sz w:val="24"/>
        <w:szCs w:val="24"/>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5">
    <w:lvl w:ilvl="0">
      <w:start w:val="4"/>
      <w:numFmt w:val="decimal"/>
      <w:lvlText w:val="%1"/>
      <w:lvlJc w:val="left"/>
      <w:pPr>
        <w:ind w:left="530" w:hanging="530"/>
      </w:pPr>
      <w:rPr/>
    </w:lvl>
    <w:lvl w:ilvl="1">
      <w:start w:val="1"/>
      <w:numFmt w:val="decimal"/>
      <w:lvlText w:val="%1.%2"/>
      <w:lvlJc w:val="left"/>
      <w:pPr>
        <w:ind w:left="934" w:hanging="530"/>
      </w:pPr>
      <w:rPr/>
    </w:lvl>
    <w:lvl w:ilvl="2">
      <w:start w:val="1"/>
      <w:numFmt w:val="decimal"/>
      <w:lvlText w:val="%1.%2.%3"/>
      <w:lvlJc w:val="left"/>
      <w:pPr>
        <w:ind w:left="1528" w:hanging="719"/>
      </w:pPr>
      <w:rPr/>
    </w:lvl>
    <w:lvl w:ilvl="3">
      <w:start w:val="1"/>
      <w:numFmt w:val="decimal"/>
      <w:lvlText w:val="%1.%2.%3.%4"/>
      <w:lvlJc w:val="left"/>
      <w:pPr>
        <w:ind w:left="2292" w:hanging="1080"/>
      </w:pPr>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6">
    <w:lvl w:ilvl="0">
      <w:start w:val="3"/>
      <w:numFmt w:val="decimal"/>
      <w:lvlText w:val="%1"/>
      <w:lvlJc w:val="left"/>
      <w:pPr>
        <w:ind w:left="530" w:hanging="530"/>
      </w:pPr>
      <w:rPr/>
    </w:lvl>
    <w:lvl w:ilvl="1">
      <w:start w:val="2"/>
      <w:numFmt w:val="decimal"/>
      <w:lvlText w:val="%1.%2"/>
      <w:lvlJc w:val="left"/>
      <w:pPr>
        <w:ind w:left="1522" w:hanging="530.0000000000001"/>
      </w:pPr>
      <w:rPr/>
    </w:lvl>
    <w:lvl w:ilvl="2">
      <w:start w:val="1"/>
      <w:numFmt w:val="decimal"/>
      <w:lvlText w:val="%1.%2.%3"/>
      <w:lvlJc w:val="left"/>
      <w:pPr>
        <w:ind w:left="2704" w:hanging="720.0000000000002"/>
      </w:pPr>
      <w:rPr/>
    </w:lvl>
    <w:lvl w:ilvl="3">
      <w:start w:val="1"/>
      <w:numFmt w:val="decimal"/>
      <w:lvlText w:val="%1.%2.%3.%4"/>
      <w:lvlJc w:val="left"/>
      <w:pPr>
        <w:ind w:left="4056" w:hanging="1080"/>
      </w:pPr>
      <w:rPr/>
    </w:lvl>
    <w:lvl w:ilvl="4">
      <w:start w:val="1"/>
      <w:numFmt w:val="decimal"/>
      <w:lvlText w:val="%1.%2.%3.%4.%5"/>
      <w:lvlJc w:val="left"/>
      <w:pPr>
        <w:ind w:left="5048" w:hanging="1080"/>
      </w:pPr>
      <w:rPr/>
    </w:lvl>
    <w:lvl w:ilvl="5">
      <w:start w:val="1"/>
      <w:numFmt w:val="decimal"/>
      <w:lvlText w:val="%1.%2.%3.%4.%5.%6"/>
      <w:lvlJc w:val="left"/>
      <w:pPr>
        <w:ind w:left="6400" w:hanging="1440"/>
      </w:pPr>
      <w:rPr/>
    </w:lvl>
    <w:lvl w:ilvl="6">
      <w:start w:val="1"/>
      <w:numFmt w:val="decimal"/>
      <w:lvlText w:val="%1.%2.%3.%4.%5.%6.%7"/>
      <w:lvlJc w:val="left"/>
      <w:pPr>
        <w:ind w:left="7392" w:hanging="1440"/>
      </w:pPr>
      <w:rPr/>
    </w:lvl>
    <w:lvl w:ilvl="7">
      <w:start w:val="1"/>
      <w:numFmt w:val="decimal"/>
      <w:lvlText w:val="%1.%2.%3.%4.%5.%6.%7.%8"/>
      <w:lvlJc w:val="left"/>
      <w:pPr>
        <w:ind w:left="8744" w:hanging="1800"/>
      </w:pPr>
      <w:rPr/>
    </w:lvl>
    <w:lvl w:ilvl="8">
      <w:start w:val="1"/>
      <w:numFmt w:val="decimal"/>
      <w:lvlText w:val="%1.%2.%3.%4.%5.%6.%7.%8.%9"/>
      <w:lvlJc w:val="left"/>
      <w:pPr>
        <w:ind w:left="9736" w:hanging="1800"/>
      </w:pPr>
      <w:rPr/>
    </w:lvl>
  </w:abstractNum>
  <w:abstractNum w:abstractNumId="7">
    <w:lvl w:ilvl="0">
      <w:start w:val="5"/>
      <w:numFmt w:val="decimal"/>
      <w:lvlText w:val="%1"/>
      <w:lvlJc w:val="left"/>
      <w:pPr>
        <w:ind w:left="530" w:hanging="530"/>
      </w:pPr>
      <w:rPr/>
    </w:lvl>
    <w:lvl w:ilvl="1">
      <w:start w:val="1"/>
      <w:numFmt w:val="decimal"/>
      <w:lvlText w:val="%1.%2"/>
      <w:lvlJc w:val="left"/>
      <w:pPr>
        <w:ind w:left="934" w:hanging="530"/>
      </w:pPr>
      <w:rPr/>
    </w:lvl>
    <w:lvl w:ilvl="2">
      <w:start w:val="1"/>
      <w:numFmt w:val="decimal"/>
      <w:lvlText w:val="%1.%2.%3"/>
      <w:lvlJc w:val="left"/>
      <w:pPr>
        <w:ind w:left="1528" w:hanging="719"/>
      </w:pPr>
      <w:rPr/>
    </w:lvl>
    <w:lvl w:ilvl="3">
      <w:start w:val="1"/>
      <w:numFmt w:val="decimal"/>
      <w:lvlText w:val="%1.%2.%3.%4"/>
      <w:lvlJc w:val="left"/>
      <w:pPr>
        <w:ind w:left="2292" w:hanging="1080"/>
      </w:pPr>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8">
    <w:lvl w:ilvl="0">
      <w:start w:val="7"/>
      <w:numFmt w:val="decimal"/>
      <w:lvlText w:val="%1"/>
      <w:lvlJc w:val="left"/>
      <w:pPr>
        <w:ind w:left="530" w:hanging="530"/>
      </w:pPr>
      <w:rPr/>
    </w:lvl>
    <w:lvl w:ilvl="1">
      <w:start w:val="1"/>
      <w:numFmt w:val="decimal"/>
      <w:lvlText w:val="%1.%2"/>
      <w:lvlJc w:val="left"/>
      <w:pPr>
        <w:ind w:left="934" w:hanging="530"/>
      </w:pPr>
      <w:rPr/>
    </w:lvl>
    <w:lvl w:ilvl="2">
      <w:start w:val="1"/>
      <w:numFmt w:val="decimal"/>
      <w:lvlText w:val="%1.%2.%3"/>
      <w:lvlJc w:val="left"/>
      <w:pPr>
        <w:ind w:left="1528" w:hanging="719"/>
      </w:pPr>
      <w:rPr/>
    </w:lvl>
    <w:lvl w:ilvl="3">
      <w:start w:val="1"/>
      <w:numFmt w:val="decimal"/>
      <w:lvlText w:val="%1.%2.%3.%4"/>
      <w:lvlJc w:val="left"/>
      <w:pPr>
        <w:ind w:left="2292" w:hanging="1080"/>
      </w:pPr>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9">
    <w:lvl w:ilvl="0">
      <w:start w:val="7"/>
      <w:numFmt w:val="decimal"/>
      <w:lvlText w:val="%1"/>
      <w:lvlJc w:val="left"/>
      <w:pPr>
        <w:ind w:left="530" w:hanging="530"/>
      </w:pPr>
      <w:rPr/>
    </w:lvl>
    <w:lvl w:ilvl="1">
      <w:start w:val="3"/>
      <w:numFmt w:val="decimal"/>
      <w:lvlText w:val="%1.%2"/>
      <w:lvlJc w:val="left"/>
      <w:pPr>
        <w:ind w:left="934" w:hanging="530"/>
      </w:pPr>
      <w:rPr/>
    </w:lvl>
    <w:lvl w:ilvl="2">
      <w:start w:val="1"/>
      <w:numFmt w:val="decimal"/>
      <w:lvlText w:val="%1.%2.%3"/>
      <w:lvlJc w:val="left"/>
      <w:pPr>
        <w:ind w:left="1528" w:hanging="719"/>
      </w:pPr>
      <w:rPr/>
    </w:lvl>
    <w:lvl w:ilvl="3">
      <w:start w:val="1"/>
      <w:numFmt w:val="decimal"/>
      <w:lvlText w:val="%1.%2.%3.%4"/>
      <w:lvlJc w:val="left"/>
      <w:pPr>
        <w:ind w:left="2292" w:hanging="1080"/>
      </w:pPr>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10">
    <w:lvl w:ilvl="0">
      <w:start w:val="9"/>
      <w:numFmt w:val="decimal"/>
      <w:lvlText w:val="%1"/>
      <w:lvlJc w:val="left"/>
      <w:pPr>
        <w:ind w:left="530" w:hanging="530"/>
      </w:pPr>
      <w:rPr/>
    </w:lvl>
    <w:lvl w:ilvl="1">
      <w:start w:val="1"/>
      <w:numFmt w:val="decimal"/>
      <w:lvlText w:val="%1.%2"/>
      <w:lvlJc w:val="left"/>
      <w:pPr>
        <w:ind w:left="934" w:hanging="530"/>
      </w:pPr>
      <w:rPr/>
    </w:lvl>
    <w:lvl w:ilvl="2">
      <w:start w:val="1"/>
      <w:numFmt w:val="decimal"/>
      <w:lvlText w:val="%1.%2.%3"/>
      <w:lvlJc w:val="left"/>
      <w:pPr>
        <w:ind w:left="1528" w:hanging="719"/>
      </w:pPr>
      <w:rPr/>
    </w:lvl>
    <w:lvl w:ilvl="3">
      <w:start w:val="1"/>
      <w:numFmt w:val="decimal"/>
      <w:lvlText w:val="%1.%2.%3.%4"/>
      <w:lvlJc w:val="left"/>
      <w:pPr>
        <w:ind w:left="2292" w:hanging="1080"/>
      </w:pPr>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11">
    <w:lvl w:ilvl="0">
      <w:start w:val="5"/>
      <w:numFmt w:val="decimal"/>
      <w:lvlText w:val="%1"/>
      <w:lvlJc w:val="left"/>
      <w:pPr>
        <w:ind w:left="530" w:hanging="530"/>
      </w:pPr>
      <w:rPr/>
    </w:lvl>
    <w:lvl w:ilvl="1">
      <w:start w:val="8"/>
      <w:numFmt w:val="decimal"/>
      <w:lvlText w:val="%1.%2"/>
      <w:lvlJc w:val="left"/>
      <w:pPr>
        <w:ind w:left="1522" w:hanging="530.0000000000001"/>
      </w:pPr>
      <w:rPr/>
    </w:lvl>
    <w:lvl w:ilvl="2">
      <w:start w:val="1"/>
      <w:numFmt w:val="decimal"/>
      <w:lvlText w:val="%1.%2.%3"/>
      <w:lvlJc w:val="left"/>
      <w:pPr>
        <w:ind w:left="2704" w:hanging="720.0000000000002"/>
      </w:pPr>
      <w:rPr/>
    </w:lvl>
    <w:lvl w:ilvl="3">
      <w:start w:val="1"/>
      <w:numFmt w:val="lowerLetter"/>
      <w:lvlText w:val="(%4)"/>
      <w:lvlJc w:val="left"/>
      <w:pPr>
        <w:ind w:left="4056" w:hanging="1080"/>
      </w:pPr>
      <w:rPr>
        <w:rFonts w:ascii="Arial" w:cs="Arial" w:eastAsia="Arial" w:hAnsi="Arial"/>
      </w:rPr>
    </w:lvl>
    <w:lvl w:ilvl="4">
      <w:start w:val="1"/>
      <w:numFmt w:val="decimal"/>
      <w:lvlText w:val="%1.%2.%3.%4.%5"/>
      <w:lvlJc w:val="left"/>
      <w:pPr>
        <w:ind w:left="5048" w:hanging="1080"/>
      </w:pPr>
      <w:rPr/>
    </w:lvl>
    <w:lvl w:ilvl="5">
      <w:start w:val="1"/>
      <w:numFmt w:val="decimal"/>
      <w:lvlText w:val="%1.%2.%3.%4.%5.%6"/>
      <w:lvlJc w:val="left"/>
      <w:pPr>
        <w:ind w:left="6400" w:hanging="1440"/>
      </w:pPr>
      <w:rPr/>
    </w:lvl>
    <w:lvl w:ilvl="6">
      <w:start w:val="1"/>
      <w:numFmt w:val="decimal"/>
      <w:lvlText w:val="%1.%2.%3.%4.%5.%6.%7"/>
      <w:lvlJc w:val="left"/>
      <w:pPr>
        <w:ind w:left="7392" w:hanging="1440"/>
      </w:pPr>
      <w:rPr/>
    </w:lvl>
    <w:lvl w:ilvl="7">
      <w:start w:val="1"/>
      <w:numFmt w:val="decimal"/>
      <w:lvlText w:val="%1.%2.%3.%4.%5.%6.%7.%8"/>
      <w:lvlJc w:val="left"/>
      <w:pPr>
        <w:ind w:left="8744" w:hanging="1800"/>
      </w:pPr>
      <w:rPr/>
    </w:lvl>
    <w:lvl w:ilvl="8">
      <w:start w:val="1"/>
      <w:numFmt w:val="decimal"/>
      <w:lvlText w:val="%1.%2.%3.%4.%5.%6.%7.%8.%9"/>
      <w:lvlJc w:val="left"/>
      <w:pPr>
        <w:ind w:left="9736" w:hanging="1800"/>
      </w:pPr>
      <w:rPr/>
    </w:lvl>
  </w:abstractNum>
  <w:abstractNum w:abstractNumId="12">
    <w:lvl w:ilvl="0">
      <w:start w:val="3"/>
      <w:numFmt w:val="decimal"/>
      <w:lvlText w:val="%1"/>
      <w:lvlJc w:val="left"/>
      <w:pPr>
        <w:ind w:left="530" w:hanging="530"/>
      </w:pPr>
      <w:rPr/>
    </w:lvl>
    <w:lvl w:ilvl="1">
      <w:start w:val="5"/>
      <w:numFmt w:val="decimal"/>
      <w:lvlText w:val="%1.%2"/>
      <w:lvlJc w:val="left"/>
      <w:pPr>
        <w:ind w:left="1294" w:hanging="530"/>
      </w:pPr>
      <w:rPr/>
    </w:lvl>
    <w:lvl w:ilvl="2">
      <w:start w:val="1"/>
      <w:numFmt w:val="decimal"/>
      <w:lvlText w:val="%1.%2.%3"/>
      <w:lvlJc w:val="left"/>
      <w:pPr>
        <w:ind w:left="2248" w:hanging="720"/>
      </w:pPr>
      <w:rPr/>
    </w:lvl>
    <w:lvl w:ilvl="3">
      <w:start w:val="1"/>
      <w:numFmt w:val="decimal"/>
      <w:lvlText w:val="%1.%2.%3.%4"/>
      <w:lvlJc w:val="left"/>
      <w:pPr>
        <w:ind w:left="3372" w:hanging="1080"/>
      </w:pPr>
      <w:rPr/>
    </w:lvl>
    <w:lvl w:ilvl="4">
      <w:start w:val="1"/>
      <w:numFmt w:val="decimal"/>
      <w:lvlText w:val="%1.%2.%3.%4.%5"/>
      <w:lvlJc w:val="left"/>
      <w:pPr>
        <w:ind w:left="4136" w:hanging="1080"/>
      </w:pPr>
      <w:rPr/>
    </w:lvl>
    <w:lvl w:ilvl="5">
      <w:start w:val="1"/>
      <w:numFmt w:val="decimal"/>
      <w:lvlText w:val="%1.%2.%3.%4.%5.%6"/>
      <w:lvlJc w:val="left"/>
      <w:pPr>
        <w:ind w:left="5260" w:hanging="1440"/>
      </w:pPr>
      <w:rPr/>
    </w:lvl>
    <w:lvl w:ilvl="6">
      <w:start w:val="1"/>
      <w:numFmt w:val="decimal"/>
      <w:lvlText w:val="%1.%2.%3.%4.%5.%6.%7"/>
      <w:lvlJc w:val="left"/>
      <w:pPr>
        <w:ind w:left="6024" w:hanging="1440"/>
      </w:pPr>
      <w:rPr/>
    </w:lvl>
    <w:lvl w:ilvl="7">
      <w:start w:val="1"/>
      <w:numFmt w:val="decimal"/>
      <w:lvlText w:val="%1.%2.%3.%4.%5.%6.%7.%8"/>
      <w:lvlJc w:val="left"/>
      <w:pPr>
        <w:ind w:left="7148" w:hanging="1800"/>
      </w:pPr>
      <w:rPr/>
    </w:lvl>
    <w:lvl w:ilvl="8">
      <w:start w:val="1"/>
      <w:numFmt w:val="decimal"/>
      <w:lvlText w:val="%1.%2.%3.%4.%5.%6.%7.%8.%9"/>
      <w:lvlJc w:val="left"/>
      <w:pPr>
        <w:ind w:left="7912" w:hanging="1800"/>
      </w:pPr>
      <w:rPr/>
    </w:lvl>
  </w:abstractNum>
  <w:abstractNum w:abstractNumId="13">
    <w:lvl w:ilvl="0">
      <w:start w:val="5"/>
      <w:numFmt w:val="decimal"/>
      <w:lvlText w:val="%1"/>
      <w:lvlJc w:val="left"/>
      <w:pPr>
        <w:ind w:left="530" w:hanging="530"/>
      </w:pPr>
      <w:rPr/>
    </w:lvl>
    <w:lvl w:ilvl="1">
      <w:start w:val="9"/>
      <w:numFmt w:val="decimal"/>
      <w:lvlText w:val="%1.%2"/>
      <w:lvlJc w:val="left"/>
      <w:pPr>
        <w:ind w:left="1522" w:hanging="530.0000000000001"/>
      </w:pPr>
      <w:rPr/>
    </w:lvl>
    <w:lvl w:ilvl="2">
      <w:start w:val="1"/>
      <w:numFmt w:val="decimal"/>
      <w:lvlText w:val="%1.%2.%3"/>
      <w:lvlJc w:val="left"/>
      <w:pPr>
        <w:ind w:left="2704" w:hanging="720.0000000000002"/>
      </w:pPr>
      <w:rPr/>
    </w:lvl>
    <w:lvl w:ilvl="3">
      <w:start w:val="1"/>
      <w:numFmt w:val="decimal"/>
      <w:lvlText w:val="%1.%2.%3.%4"/>
      <w:lvlJc w:val="left"/>
      <w:pPr>
        <w:ind w:left="4056" w:hanging="1080"/>
      </w:pPr>
      <w:rPr/>
    </w:lvl>
    <w:lvl w:ilvl="4">
      <w:start w:val="1"/>
      <w:numFmt w:val="decimal"/>
      <w:lvlText w:val="%1.%2.%3.%4.%5"/>
      <w:lvlJc w:val="left"/>
      <w:pPr>
        <w:ind w:left="5048" w:hanging="1080"/>
      </w:pPr>
      <w:rPr/>
    </w:lvl>
    <w:lvl w:ilvl="5">
      <w:start w:val="1"/>
      <w:numFmt w:val="decimal"/>
      <w:lvlText w:val="%1.%2.%3.%4.%5.%6"/>
      <w:lvlJc w:val="left"/>
      <w:pPr>
        <w:ind w:left="6400" w:hanging="1440"/>
      </w:pPr>
      <w:rPr/>
    </w:lvl>
    <w:lvl w:ilvl="6">
      <w:start w:val="1"/>
      <w:numFmt w:val="decimal"/>
      <w:lvlText w:val="%1.%2.%3.%4.%5.%6.%7"/>
      <w:lvlJc w:val="left"/>
      <w:pPr>
        <w:ind w:left="7392" w:hanging="1440"/>
      </w:pPr>
      <w:rPr/>
    </w:lvl>
    <w:lvl w:ilvl="7">
      <w:start w:val="1"/>
      <w:numFmt w:val="decimal"/>
      <w:lvlText w:val="%1.%2.%3.%4.%5.%6.%7.%8"/>
      <w:lvlJc w:val="left"/>
      <w:pPr>
        <w:ind w:left="8744" w:hanging="1800"/>
      </w:pPr>
      <w:rPr/>
    </w:lvl>
    <w:lvl w:ilvl="8">
      <w:start w:val="1"/>
      <w:numFmt w:val="decimal"/>
      <w:lvlText w:val="%1.%2.%3.%4.%5.%6.%7.%8.%9"/>
      <w:lvlJc w:val="left"/>
      <w:pPr>
        <w:ind w:left="9736" w:hanging="1800"/>
      </w:pPr>
      <w:rPr/>
    </w:lvl>
  </w:abstractNum>
  <w:abstractNum w:abstractNumId="1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bCs w:val="0"/>
        <w:color w:val="000000"/>
      </w:rPr>
    </w:lvl>
    <w:lvl w:ilvl="3">
      <w:start w:val="1"/>
      <w:numFmt w:val="decimal"/>
      <w:lvlText w:val="%3.%4"/>
      <w:lvlJc w:val="left"/>
      <w:pPr>
        <w:ind w:left="720" w:hanging="720"/>
      </w:pPr>
      <w:rPr>
        <w:b w:val="0"/>
        <w:bCs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23"/>
      <w:numFmt w:val="decimal"/>
      <w:lvlText w:val="%1"/>
      <w:lvlJc w:val="left"/>
      <w:pPr>
        <w:ind w:left="709" w:hanging="709"/>
      </w:pPr>
      <w:rPr>
        <w:b w:val="1"/>
        <w:bCs w:val="1"/>
      </w:rPr>
    </w:lvl>
    <w:lvl w:ilvl="1">
      <w:start w:val="2"/>
      <w:numFmt w:val="decimal"/>
      <w:lvlText w:val="%2."/>
      <w:lvlJc w:val="left"/>
      <w:pPr>
        <w:ind w:left="709" w:hanging="709"/>
      </w:pPr>
      <w:rPr>
        <w:b w:val="0"/>
        <w:bCs w:val="0"/>
        <w:i w:val="0"/>
        <w:iCs w:val="0"/>
        <w:color w:val="000000"/>
        <w:sz w:val="22"/>
        <w:szCs w:val="22"/>
      </w:rPr>
    </w:lvl>
    <w:lvl w:ilvl="2">
      <w:start w:val="3"/>
      <w:numFmt w:val="lowerLetter"/>
      <w:lvlText w:val="(%3)"/>
      <w:lvlJc w:val="left"/>
      <w:pPr>
        <w:ind w:left="809" w:hanging="709"/>
      </w:pPr>
      <w:rPr>
        <w:b w:val="0"/>
        <w:bCs w:val="0"/>
        <w:i w:val="0"/>
        <w:iCs w:val="0"/>
        <w:sz w:val="22"/>
        <w:szCs w:val="22"/>
      </w:rPr>
    </w:lvl>
    <w:lvl w:ilvl="3">
      <w:start w:val="1"/>
      <w:numFmt w:val="lowerLetter"/>
      <w:lvlText w:val="(%4)"/>
      <w:lvlJc w:val="left"/>
      <w:pPr>
        <w:ind w:left="2126" w:hanging="708"/>
      </w:pPr>
      <w:rPr>
        <w:rFonts w:ascii="Arial" w:cs="Arial" w:eastAsia="Arial" w:hAnsi="Arial"/>
        <w:b w:val="0"/>
        <w:bCs w:val="0"/>
        <w:i w:val="0"/>
        <w:iCs w:val="0"/>
        <w:sz w:val="22"/>
        <w:szCs w:val="22"/>
      </w:rPr>
    </w:lvl>
    <w:lvl w:ilvl="4">
      <w:start w:val="1"/>
      <w:numFmt w:val="lowerRoman"/>
      <w:lvlText w:val="(%5)"/>
      <w:lvlJc w:val="left"/>
      <w:pPr>
        <w:ind w:left="2836" w:hanging="709"/>
      </w:pPr>
      <w:rPr>
        <w:rFonts w:ascii="Arial" w:cs="Arial" w:eastAsia="Arial" w:hAnsi="Arial"/>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6">
    <w:lvl w:ilvl="0">
      <w:start w:val="23"/>
      <w:numFmt w:val="decimal"/>
      <w:lvlText w:val="%1"/>
      <w:lvlJc w:val="left"/>
      <w:pPr>
        <w:ind w:left="709" w:hanging="709"/>
      </w:pPr>
      <w:rPr>
        <w:b w:val="1"/>
        <w:bCs w:val="1"/>
      </w:rPr>
    </w:lvl>
    <w:lvl w:ilvl="1">
      <w:start w:val="1"/>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Letter"/>
      <w:lvlText w:val="(%4)"/>
      <w:lvlJc w:val="left"/>
      <w:pPr>
        <w:ind w:left="2126" w:hanging="708"/>
      </w:pPr>
      <w:rPr>
        <w:rFonts w:ascii="Arial" w:cs="Arial" w:eastAsia="Arial" w:hAnsi="Arial"/>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7">
    <w:lvl w:ilvl="0">
      <w:start w:val="23"/>
      <w:numFmt w:val="decimal"/>
      <w:lvlText w:val="%1"/>
      <w:lvlJc w:val="left"/>
      <w:pPr>
        <w:ind w:left="709" w:hanging="709"/>
      </w:pPr>
      <w:rPr>
        <w:b w:val="1"/>
        <w:bCs w:val="1"/>
      </w:rPr>
    </w:lvl>
    <w:lvl w:ilvl="1">
      <w:start w:val="2"/>
      <w:numFmt w:val="decimal"/>
      <w:lvlText w:val="%2."/>
      <w:lvlJc w:val="left"/>
      <w:pPr>
        <w:ind w:left="709" w:hanging="709"/>
      </w:pPr>
      <w:rPr>
        <w:b w:val="0"/>
        <w:bCs w:val="0"/>
        <w:i w:val="0"/>
        <w:iCs w:val="0"/>
        <w:color w:val="000000"/>
        <w:sz w:val="22"/>
        <w:szCs w:val="22"/>
      </w:rPr>
    </w:lvl>
    <w:lvl w:ilvl="2">
      <w:start w:val="1"/>
      <w:numFmt w:val="lowerLetter"/>
      <w:lvlText w:val="(%3)"/>
      <w:lvlJc w:val="left"/>
      <w:pPr>
        <w:ind w:left="809" w:hanging="709"/>
      </w:pPr>
      <w:rPr>
        <w:b w:val="0"/>
        <w:bCs w:val="0"/>
        <w:i w:val="0"/>
        <w:iCs w:val="0"/>
        <w:sz w:val="22"/>
        <w:szCs w:val="22"/>
      </w:rPr>
    </w:lvl>
    <w:lvl w:ilvl="3">
      <w:start w:val="1"/>
      <w:numFmt w:val="lowerLetter"/>
      <w:lvlText w:val="(%4)"/>
      <w:lvlJc w:val="left"/>
      <w:pPr>
        <w:ind w:left="2126" w:hanging="708"/>
      </w:pPr>
      <w:rPr>
        <w:rFonts w:ascii="Arial" w:cs="Arial" w:eastAsia="Arial" w:hAnsi="Arial"/>
        <w:b w:val="0"/>
        <w:bCs w:val="0"/>
        <w:i w:val="0"/>
        <w:iCs w:val="0"/>
        <w:sz w:val="24"/>
        <w:szCs w:val="24"/>
      </w:rPr>
    </w:lvl>
    <w:lvl w:ilvl="4">
      <w:start w:val="1"/>
      <w:numFmt w:val="lowerRoman"/>
      <w:lvlText w:val="(%5)"/>
      <w:lvlJc w:val="left"/>
      <w:pPr>
        <w:ind w:left="2836" w:hanging="709"/>
      </w:pPr>
      <w:rPr>
        <w:rFonts w:ascii="Arial" w:cs="Arial" w:eastAsia="Arial" w:hAnsi="Arial"/>
        <w:b w:val="0"/>
        <w:bCs w:val="0"/>
        <w:i w:val="0"/>
        <w:iCs w:val="0"/>
      </w:rPr>
    </w:lvl>
    <w:lvl w:ilvl="5">
      <w:start w:val="1"/>
      <w:numFmt w:val="upperLetter"/>
      <w:lvlText w:val="(%6)"/>
      <w:lvlJc w:val="left"/>
      <w:pPr>
        <w:ind w:left="3544" w:hanging="708.0000000000005"/>
      </w:pPr>
      <w:rPr>
        <w:rFonts w:ascii="Arial" w:cs="Arial" w:eastAsia="Arial" w:hAnsi="Arial"/>
      </w:rPr>
    </w:lvl>
    <w:lvl w:ilvl="6">
      <w:start w:val="1"/>
      <w:numFmt w:val="decimal"/>
      <w:lvlText w:val="(%7)"/>
      <w:lvlJc w:val="left"/>
      <w:pPr>
        <w:ind w:left="2714" w:hanging="1296.0000000000002"/>
      </w:pPr>
      <w:rPr>
        <w:rFonts w:ascii="Arial" w:cs="Arial" w:eastAsia="Arial" w:hAnsi="Arial"/>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18">
    <w:lvl w:ilvl="0">
      <w:start w:val="2"/>
      <w:numFmt w:val="decimal"/>
      <w:lvlText w:val="%1"/>
      <w:lvlJc w:val="left"/>
      <w:pPr>
        <w:ind w:left="530" w:hanging="530"/>
      </w:pPr>
      <w:rPr/>
    </w:lvl>
    <w:lvl w:ilvl="1">
      <w:start w:val="1"/>
      <w:numFmt w:val="decimal"/>
      <w:lvlText w:val="%1.%2"/>
      <w:lvlJc w:val="left"/>
      <w:pPr>
        <w:ind w:left="934" w:hanging="530"/>
      </w:pPr>
      <w:rPr/>
    </w:lvl>
    <w:lvl w:ilvl="2">
      <w:start w:val="1"/>
      <w:numFmt w:val="decimal"/>
      <w:lvlText w:val="%1.%2.%3"/>
      <w:lvlJc w:val="left"/>
      <w:pPr>
        <w:ind w:left="1528" w:hanging="719"/>
      </w:pPr>
      <w:rPr/>
    </w:lvl>
    <w:lvl w:ilvl="3">
      <w:start w:val="1"/>
      <w:numFmt w:val="decimal"/>
      <w:lvlText w:val="%1.%2.%3.%4"/>
      <w:lvlJc w:val="left"/>
      <w:pPr>
        <w:ind w:left="2292" w:hanging="1080"/>
      </w:pPr>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19">
    <w:lvl w:ilvl="0">
      <w:start w:val="3"/>
      <w:numFmt w:val="decimal"/>
      <w:lvlText w:val="%1"/>
      <w:lvlJc w:val="left"/>
      <w:pPr>
        <w:ind w:left="530" w:hanging="530"/>
      </w:pPr>
      <w:rPr/>
    </w:lvl>
    <w:lvl w:ilvl="1">
      <w:start w:val="3"/>
      <w:numFmt w:val="decimal"/>
      <w:lvlText w:val="%1.%2"/>
      <w:lvlJc w:val="left"/>
      <w:pPr>
        <w:ind w:left="1593" w:hanging="530"/>
      </w:pPr>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0">
    <w:lvl w:ilvl="0">
      <w:start w:val="23"/>
      <w:numFmt w:val="decimal"/>
      <w:lvlText w:val="%1"/>
      <w:lvlJc w:val="left"/>
      <w:pPr>
        <w:ind w:left="709" w:hanging="709"/>
      </w:pPr>
      <w:rPr>
        <w:b w:val="1"/>
        <w:bCs w:val="1"/>
      </w:rPr>
    </w:lvl>
    <w:lvl w:ilvl="1">
      <w:start w:val="1"/>
      <w:numFmt w:val="decimal"/>
      <w:lvlText w:val="%2."/>
      <w:lvlJc w:val="left"/>
      <w:pPr>
        <w:ind w:left="709" w:hanging="709"/>
      </w:pPr>
      <w:rPr>
        <w:b w:val="1"/>
        <w:bCs w:val="1"/>
        <w:i w:val="0"/>
        <w:iCs w:val="0"/>
        <w:color w:val="000000"/>
        <w:sz w:val="24"/>
        <w:szCs w:val="24"/>
      </w:rPr>
    </w:lvl>
    <w:lvl w:ilvl="2">
      <w:start w:val="1"/>
      <w:numFmt w:val="lowerLetter"/>
      <w:lvlText w:val="(%3)"/>
      <w:lvlJc w:val="left"/>
      <w:pPr>
        <w:ind w:left="809" w:hanging="709"/>
      </w:pPr>
      <w:rPr>
        <w:b w:val="0"/>
        <w:bCs w:val="0"/>
        <w:i w:val="0"/>
        <w:iCs w:val="0"/>
        <w:sz w:val="22"/>
        <w:szCs w:val="22"/>
      </w:rPr>
    </w:lvl>
    <w:lvl w:ilvl="3">
      <w:start w:val="1"/>
      <w:numFmt w:val="lowerRoman"/>
      <w:lvlText w:val="(%4)"/>
      <w:lvlJc w:val="left"/>
      <w:pPr>
        <w:ind w:left="2126" w:hanging="708"/>
      </w:pPr>
      <w:rPr>
        <w:b w:val="0"/>
        <w:bCs w:val="0"/>
        <w:i w:val="0"/>
        <w:iCs w:val="0"/>
        <w:sz w:val="22"/>
        <w:szCs w:val="22"/>
      </w:rPr>
    </w:lvl>
    <w:lvl w:ilvl="4">
      <w:start w:val="1"/>
      <w:numFmt w:val="upperLetter"/>
      <w:lvlText w:val="(%5)"/>
      <w:lvlJc w:val="left"/>
      <w:pPr>
        <w:ind w:left="2836" w:hanging="709"/>
      </w:pPr>
      <w:rPr>
        <w:b w:val="0"/>
        <w:bCs w:val="0"/>
        <w:i w:val="0"/>
        <w:iCs w:val="0"/>
      </w:rPr>
    </w:lvl>
    <w:lvl w:ilvl="5">
      <w:start w:val="1"/>
      <w:numFmt w:val="decimal"/>
      <w:lvlText w:val="%6)"/>
      <w:lvlJc w:val="left"/>
      <w:pPr>
        <w:ind w:left="3544" w:hanging="708.0000000000005"/>
      </w:pPr>
      <w:rPr/>
    </w:lvl>
    <w:lvl w:ilvl="6">
      <w:start w:val="1"/>
      <w:numFmt w:val="decimal"/>
      <w:lvlText w:val="%7%3)"/>
      <w:lvlJc w:val="left"/>
      <w:pPr>
        <w:ind w:left="2714" w:hanging="1296.0000000000002"/>
      </w:pPr>
      <w:rPr/>
    </w:lvl>
    <w:lvl w:ilvl="7">
      <w:start w:val="1"/>
      <w:numFmt w:val="lowerRoman"/>
      <w:lvlText w:val="%8)"/>
      <w:lvlJc w:val="left"/>
      <w:pPr>
        <w:ind w:left="2858" w:hanging="1440"/>
      </w:pPr>
      <w:rPr/>
    </w:lvl>
    <w:lvl w:ilvl="8">
      <w:start w:val="1"/>
      <w:numFmt w:val="upperLetter"/>
      <w:lvlText w:val="%9)"/>
      <w:lvlJc w:val="left"/>
      <w:pPr>
        <w:ind w:left="3002" w:hanging="1584.0000000000002"/>
      </w:pPr>
      <w:rPr/>
    </w:lvl>
  </w:abstractNum>
  <w:abstractNum w:abstractNumId="21">
    <w:lvl w:ilvl="0">
      <w:start w:val="3"/>
      <w:numFmt w:val="decimal"/>
      <w:lvlText w:val="%1"/>
      <w:lvlJc w:val="left"/>
      <w:pPr>
        <w:ind w:left="530" w:hanging="530"/>
      </w:pPr>
      <w:rPr/>
    </w:lvl>
    <w:lvl w:ilvl="1">
      <w:start w:val="4"/>
      <w:numFmt w:val="decimal"/>
      <w:lvlText w:val="%1.%2"/>
      <w:lvlJc w:val="left"/>
      <w:pPr>
        <w:ind w:left="934" w:hanging="530"/>
      </w:pPr>
      <w:rPr/>
    </w:lvl>
    <w:lvl w:ilvl="2">
      <w:start w:val="3"/>
      <w:numFmt w:val="decimal"/>
      <w:lvlText w:val="%1.%2.%3"/>
      <w:lvlJc w:val="left"/>
      <w:pPr>
        <w:ind w:left="1528" w:hanging="719"/>
      </w:pPr>
      <w:rPr/>
    </w:lvl>
    <w:lvl w:ilvl="3">
      <w:start w:val="1"/>
      <w:numFmt w:val="lowerLetter"/>
      <w:lvlText w:val="(%4)"/>
      <w:lvlJc w:val="left"/>
      <w:pPr>
        <w:ind w:left="2292" w:hanging="1080"/>
      </w:pPr>
      <w:rPr>
        <w:rFonts w:ascii="Arial" w:cs="Arial" w:eastAsia="Arial" w:hAnsi="Arial"/>
      </w:rPr>
    </w:lvl>
    <w:lvl w:ilvl="4">
      <w:start w:val="1"/>
      <w:numFmt w:val="lowerRoman"/>
      <w:lvlText w:val="(%5)"/>
      <w:lvlJc w:val="left"/>
      <w:pPr>
        <w:ind w:left="2696" w:hanging="1078"/>
      </w:pPr>
      <w:rPr>
        <w:rFonts w:ascii="Arial" w:cs="Arial" w:eastAsia="Arial" w:hAnsi="Arial"/>
      </w:rPr>
    </w:lvl>
    <w:lvl w:ilvl="5">
      <w:start w:val="1"/>
      <w:numFmt w:val="upperLetter"/>
      <w:lvlText w:val="(%6)"/>
      <w:lvlJc w:val="left"/>
      <w:pPr>
        <w:ind w:left="3460" w:hanging="1440"/>
      </w:pPr>
      <w:rPr>
        <w:rFonts w:ascii="Arial" w:cs="Arial" w:eastAsia="Arial" w:hAnsi="Arial"/>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22">
    <w:lvl w:ilvl="0">
      <w:start w:val="3"/>
      <w:numFmt w:val="decimal"/>
      <w:lvlText w:val="%1"/>
      <w:lvlJc w:val="left"/>
      <w:pPr>
        <w:ind w:left="530" w:hanging="530"/>
      </w:pPr>
      <w:rPr/>
    </w:lvl>
    <w:lvl w:ilvl="1">
      <w:start w:val="7"/>
      <w:numFmt w:val="decimal"/>
      <w:lvlText w:val="%1.%2"/>
      <w:lvlJc w:val="left"/>
      <w:pPr>
        <w:ind w:left="1654" w:hanging="530"/>
      </w:pPr>
      <w:rPr/>
    </w:lvl>
    <w:lvl w:ilvl="2">
      <w:start w:val="1"/>
      <w:numFmt w:val="decimal"/>
      <w:lvlText w:val="%1.%2.%3"/>
      <w:lvlJc w:val="left"/>
      <w:pPr>
        <w:ind w:left="2968" w:hanging="720"/>
      </w:pPr>
      <w:rPr/>
    </w:lvl>
    <w:lvl w:ilvl="3">
      <w:start w:val="1"/>
      <w:numFmt w:val="decimal"/>
      <w:lvlText w:val="%1.%2.%3.%4"/>
      <w:lvlJc w:val="left"/>
      <w:pPr>
        <w:ind w:left="4452" w:hanging="1080"/>
      </w:pPr>
      <w:rPr/>
    </w:lvl>
    <w:lvl w:ilvl="4">
      <w:start w:val="1"/>
      <w:numFmt w:val="decimal"/>
      <w:lvlText w:val="%1.%2.%3.%4.%5"/>
      <w:lvlJc w:val="left"/>
      <w:pPr>
        <w:ind w:left="5576" w:hanging="1080"/>
      </w:pPr>
      <w:rPr/>
    </w:lvl>
    <w:lvl w:ilvl="5">
      <w:start w:val="1"/>
      <w:numFmt w:val="decimal"/>
      <w:lvlText w:val="%1.%2.%3.%4.%5.%6"/>
      <w:lvlJc w:val="left"/>
      <w:pPr>
        <w:ind w:left="7060" w:hanging="1440"/>
      </w:pPr>
      <w:rPr/>
    </w:lvl>
    <w:lvl w:ilvl="6">
      <w:start w:val="1"/>
      <w:numFmt w:val="decimal"/>
      <w:lvlText w:val="%1.%2.%3.%4.%5.%6.%7"/>
      <w:lvlJc w:val="left"/>
      <w:pPr>
        <w:ind w:left="8184" w:hanging="1440"/>
      </w:pPr>
      <w:rPr/>
    </w:lvl>
    <w:lvl w:ilvl="7">
      <w:start w:val="1"/>
      <w:numFmt w:val="decimal"/>
      <w:lvlText w:val="%1.%2.%3.%4.%5.%6.%7.%8"/>
      <w:lvlJc w:val="left"/>
      <w:pPr>
        <w:ind w:left="9668" w:hanging="1800"/>
      </w:pPr>
      <w:rPr/>
    </w:lvl>
    <w:lvl w:ilvl="8">
      <w:start w:val="1"/>
      <w:numFmt w:val="decimal"/>
      <w:lvlText w:val="%1.%2.%3.%4.%5.%6.%7.%8.%9"/>
      <w:lvlJc w:val="left"/>
      <w:pPr>
        <w:ind w:left="10792" w:hanging="1800"/>
      </w:pPr>
      <w:rPr/>
    </w:lvl>
  </w:abstractNum>
  <w:abstractNum w:abstractNumId="23">
    <w:lvl w:ilvl="0">
      <w:start w:val="3"/>
      <w:numFmt w:val="decimal"/>
      <w:lvlText w:val="%1"/>
      <w:lvlJc w:val="left"/>
      <w:pPr>
        <w:ind w:left="530" w:hanging="530"/>
      </w:pPr>
      <w:rPr/>
    </w:lvl>
    <w:lvl w:ilvl="1">
      <w:start w:val="8"/>
      <w:numFmt w:val="decimal"/>
      <w:lvlText w:val="%1.%2"/>
      <w:lvlJc w:val="left"/>
      <w:pPr>
        <w:ind w:left="2014" w:hanging="530"/>
      </w:pPr>
      <w:rPr/>
    </w:lvl>
    <w:lvl w:ilvl="2">
      <w:start w:val="1"/>
      <w:numFmt w:val="decimal"/>
      <w:lvlText w:val="%1.%2.%3"/>
      <w:lvlJc w:val="left"/>
      <w:pPr>
        <w:ind w:left="3688" w:hanging="720"/>
      </w:pPr>
      <w:rPr/>
    </w:lvl>
    <w:lvl w:ilvl="3">
      <w:start w:val="1"/>
      <w:numFmt w:val="decimal"/>
      <w:lvlText w:val="%1.%2.%3.%4"/>
      <w:lvlJc w:val="left"/>
      <w:pPr>
        <w:ind w:left="5532" w:hanging="1080"/>
      </w:pPr>
      <w:rPr/>
    </w:lvl>
    <w:lvl w:ilvl="4">
      <w:start w:val="1"/>
      <w:numFmt w:val="decimal"/>
      <w:lvlText w:val="%1.%2.%3.%4.%5"/>
      <w:lvlJc w:val="left"/>
      <w:pPr>
        <w:ind w:left="7016" w:hanging="1080"/>
      </w:pPr>
      <w:rPr/>
    </w:lvl>
    <w:lvl w:ilvl="5">
      <w:start w:val="1"/>
      <w:numFmt w:val="decimal"/>
      <w:lvlText w:val="%1.%2.%3.%4.%5.%6"/>
      <w:lvlJc w:val="left"/>
      <w:pPr>
        <w:ind w:left="8860" w:hanging="1440"/>
      </w:pPr>
      <w:rPr/>
    </w:lvl>
    <w:lvl w:ilvl="6">
      <w:start w:val="1"/>
      <w:numFmt w:val="decimal"/>
      <w:lvlText w:val="%1.%2.%3.%4.%5.%6.%7"/>
      <w:lvlJc w:val="left"/>
      <w:pPr>
        <w:ind w:left="10344" w:hanging="1440"/>
      </w:pPr>
      <w:rPr/>
    </w:lvl>
    <w:lvl w:ilvl="7">
      <w:start w:val="1"/>
      <w:numFmt w:val="decimal"/>
      <w:lvlText w:val="%1.%2.%3.%4.%5.%6.%7.%8"/>
      <w:lvlJc w:val="left"/>
      <w:pPr>
        <w:ind w:left="12188" w:hanging="1800"/>
      </w:pPr>
      <w:rPr/>
    </w:lvl>
    <w:lvl w:ilvl="8">
      <w:start w:val="1"/>
      <w:numFmt w:val="decimal"/>
      <w:lvlText w:val="%1.%2.%3.%4.%5.%6.%7.%8.%9"/>
      <w:lvlJc w:val="left"/>
      <w:pPr>
        <w:ind w:left="13672" w:hanging="1800"/>
      </w:pPr>
      <w:rPr/>
    </w:lvl>
  </w:abstractNum>
  <w:abstractNum w:abstractNumId="24">
    <w:lvl w:ilvl="0">
      <w:start w:val="3"/>
      <w:numFmt w:val="decimal"/>
      <w:lvlText w:val="%1"/>
      <w:lvlJc w:val="left"/>
      <w:pPr>
        <w:ind w:left="660" w:hanging="660"/>
      </w:pPr>
      <w:rPr/>
    </w:lvl>
    <w:lvl w:ilvl="1">
      <w:start w:val="11"/>
      <w:numFmt w:val="decimal"/>
      <w:lvlText w:val="%1.%2"/>
      <w:lvlJc w:val="left"/>
      <w:pPr>
        <w:ind w:left="2504" w:hanging="660"/>
      </w:pPr>
      <w:rPr/>
    </w:lvl>
    <w:lvl w:ilvl="2">
      <w:start w:val="1"/>
      <w:numFmt w:val="decimal"/>
      <w:lvlText w:val="%1.%2.%3"/>
      <w:lvlJc w:val="left"/>
      <w:pPr>
        <w:ind w:left="4408" w:hanging="720"/>
      </w:pPr>
      <w:rPr/>
    </w:lvl>
    <w:lvl w:ilvl="3">
      <w:start w:val="1"/>
      <w:numFmt w:val="decimal"/>
      <w:lvlText w:val="%1.%2.%3.%4"/>
      <w:lvlJc w:val="left"/>
      <w:pPr>
        <w:ind w:left="6612" w:hanging="1080"/>
      </w:pPr>
      <w:rPr/>
    </w:lvl>
    <w:lvl w:ilvl="4">
      <w:start w:val="1"/>
      <w:numFmt w:val="decimal"/>
      <w:lvlText w:val="%1.%2.%3.%4.%5"/>
      <w:lvlJc w:val="left"/>
      <w:pPr>
        <w:ind w:left="8456" w:hanging="1080"/>
      </w:pPr>
      <w:rPr/>
    </w:lvl>
    <w:lvl w:ilvl="5">
      <w:start w:val="1"/>
      <w:numFmt w:val="decimal"/>
      <w:lvlText w:val="%1.%2.%3.%4.%5.%6"/>
      <w:lvlJc w:val="left"/>
      <w:pPr>
        <w:ind w:left="10660" w:hanging="1440"/>
      </w:pPr>
      <w:rPr/>
    </w:lvl>
    <w:lvl w:ilvl="6">
      <w:start w:val="1"/>
      <w:numFmt w:val="decimal"/>
      <w:lvlText w:val="%1.%2.%3.%4.%5.%6.%7"/>
      <w:lvlJc w:val="left"/>
      <w:pPr>
        <w:ind w:left="12504" w:hanging="1440"/>
      </w:pPr>
      <w:rPr/>
    </w:lvl>
    <w:lvl w:ilvl="7">
      <w:start w:val="1"/>
      <w:numFmt w:val="decimal"/>
      <w:lvlText w:val="%1.%2.%3.%4.%5.%6.%7.%8"/>
      <w:lvlJc w:val="left"/>
      <w:pPr>
        <w:ind w:left="14708" w:hanging="1800"/>
      </w:pPr>
      <w:rPr/>
    </w:lvl>
    <w:lvl w:ilvl="8">
      <w:start w:val="1"/>
      <w:numFmt w:val="decimal"/>
      <w:lvlText w:val="%1.%2.%3.%4.%5.%6.%7.%8.%9"/>
      <w:lvlJc w:val="left"/>
      <w:pPr>
        <w:ind w:left="16552" w:hanging="1800"/>
      </w:pPr>
      <w:rPr/>
    </w:lvl>
  </w:abstractNum>
  <w:abstractNum w:abstractNumId="25">
    <w:lvl w:ilvl="0">
      <w:start w:val="5"/>
      <w:numFmt w:val="decimal"/>
      <w:lvlText w:val="%1"/>
      <w:lvlJc w:val="left"/>
      <w:pPr>
        <w:ind w:left="360" w:hanging="360"/>
      </w:pPr>
      <w:rPr/>
    </w:lvl>
    <w:lvl w:ilvl="1">
      <w:start w:val="5"/>
      <w:numFmt w:val="decimal"/>
      <w:lvlText w:val="%1.%2"/>
      <w:lvlJc w:val="left"/>
      <w:pPr>
        <w:ind w:left="1069" w:hanging="360"/>
      </w:pPr>
      <w:rPr/>
    </w:lvl>
    <w:lvl w:ilvl="2">
      <w:start w:val="1"/>
      <w:numFmt w:val="decimal"/>
      <w:lvlText w:val="%1.%2.%3"/>
      <w:lvlJc w:val="left"/>
      <w:pPr>
        <w:ind w:left="2138" w:hanging="720"/>
      </w:pPr>
      <w:rPr/>
    </w:lvl>
    <w:lvl w:ilvl="3">
      <w:start w:val="1"/>
      <w:numFmt w:val="decimal"/>
      <w:lvlText w:val="%1.%2.%3.%4"/>
      <w:lvlJc w:val="left"/>
      <w:pPr>
        <w:ind w:left="3207" w:hanging="1080"/>
      </w:pPr>
      <w:rPr/>
    </w:lvl>
    <w:lvl w:ilvl="4">
      <w:start w:val="1"/>
      <w:numFmt w:val="decimal"/>
      <w:lvlText w:val="%1.%2.%3.%4.%5"/>
      <w:lvlJc w:val="left"/>
      <w:pPr>
        <w:ind w:left="3916" w:hanging="1080"/>
      </w:pPr>
      <w:rPr/>
    </w:lvl>
    <w:lvl w:ilvl="5">
      <w:start w:val="1"/>
      <w:numFmt w:val="decimal"/>
      <w:lvlText w:val="%1.%2.%3.%4.%5.%6"/>
      <w:lvlJc w:val="left"/>
      <w:pPr>
        <w:ind w:left="4985" w:hanging="1440"/>
      </w:pPr>
      <w:rPr/>
    </w:lvl>
    <w:lvl w:ilvl="6">
      <w:start w:val="1"/>
      <w:numFmt w:val="decimal"/>
      <w:lvlText w:val="%1.%2.%3.%4.%5.%6.%7"/>
      <w:lvlJc w:val="left"/>
      <w:pPr>
        <w:ind w:left="5694" w:hanging="1440"/>
      </w:pPr>
      <w:rPr/>
    </w:lvl>
    <w:lvl w:ilvl="7">
      <w:start w:val="1"/>
      <w:numFmt w:val="decimal"/>
      <w:lvlText w:val="%1.%2.%3.%4.%5.%6.%7.%8"/>
      <w:lvlJc w:val="left"/>
      <w:pPr>
        <w:ind w:left="6763" w:hanging="1800"/>
      </w:pPr>
      <w:rPr/>
    </w:lvl>
    <w:lvl w:ilvl="8">
      <w:start w:val="1"/>
      <w:numFmt w:val="decimal"/>
      <w:lvlText w:val="%1.%2.%3.%4.%5.%6.%7.%8.%9"/>
      <w:lvlJc w:val="left"/>
      <w:pPr>
        <w:ind w:left="7472" w:hanging="1800"/>
      </w:pPr>
      <w:rPr/>
    </w:lvl>
  </w:abstractNum>
  <w:abstractNum w:abstractNumId="26">
    <w:lvl w:ilvl="0">
      <w:start w:val="5"/>
      <w:numFmt w:val="decimal"/>
      <w:lvlText w:val="%1"/>
      <w:lvlJc w:val="left"/>
      <w:pPr>
        <w:ind w:left="530" w:hanging="530"/>
      </w:pPr>
      <w:rPr/>
    </w:lvl>
    <w:lvl w:ilvl="1">
      <w:start w:val="5"/>
      <w:numFmt w:val="decimal"/>
      <w:lvlText w:val="%1.%2"/>
      <w:lvlJc w:val="left"/>
      <w:pPr>
        <w:ind w:left="934" w:hanging="530"/>
      </w:pPr>
      <w:rPr/>
    </w:lvl>
    <w:lvl w:ilvl="2">
      <w:start w:val="2"/>
      <w:numFmt w:val="decimal"/>
      <w:lvlText w:val="%1.%2.%3"/>
      <w:lvlJc w:val="left"/>
      <w:pPr>
        <w:ind w:left="1528" w:hanging="719"/>
      </w:pPr>
      <w:rPr/>
    </w:lvl>
    <w:lvl w:ilvl="3">
      <w:start w:val="1"/>
      <w:numFmt w:val="decimal"/>
      <w:lvlText w:val="%1.%2.%3.%4"/>
      <w:lvlJc w:val="left"/>
      <w:pPr>
        <w:ind w:left="2292" w:hanging="1080"/>
      </w:pPr>
      <w:rPr/>
    </w:lvl>
    <w:lvl w:ilvl="4">
      <w:start w:val="1"/>
      <w:numFmt w:val="decimal"/>
      <w:lvlText w:val="%1.%2.%3.%4.%5"/>
      <w:lvlJc w:val="left"/>
      <w:pPr>
        <w:ind w:left="2696" w:hanging="1078"/>
      </w:pPr>
      <w:rPr/>
    </w:lvl>
    <w:lvl w:ilvl="5">
      <w:start w:val="1"/>
      <w:numFmt w:val="decimal"/>
      <w:lvlText w:val="%1.%2.%3.%4.%5.%6"/>
      <w:lvlJc w:val="left"/>
      <w:pPr>
        <w:ind w:left="3460" w:hanging="1440"/>
      </w:pPr>
      <w:rPr/>
    </w:lvl>
    <w:lvl w:ilvl="6">
      <w:start w:val="1"/>
      <w:numFmt w:val="decimal"/>
      <w:lvlText w:val="%1.%2.%3.%4.%5.%6.%7"/>
      <w:lvlJc w:val="left"/>
      <w:pPr>
        <w:ind w:left="3864" w:hanging="1440"/>
      </w:pPr>
      <w:rPr/>
    </w:lvl>
    <w:lvl w:ilvl="7">
      <w:start w:val="1"/>
      <w:numFmt w:val="decimal"/>
      <w:lvlText w:val="%1.%2.%3.%4.%5.%6.%7.%8"/>
      <w:lvlJc w:val="left"/>
      <w:pPr>
        <w:ind w:left="4628" w:hanging="1800"/>
      </w:pPr>
      <w:rPr/>
    </w:lvl>
    <w:lvl w:ilvl="8">
      <w:start w:val="1"/>
      <w:numFmt w:val="decimal"/>
      <w:lvlText w:val="%1.%2.%3.%4.%5.%6.%7.%8.%9"/>
      <w:lvlJc w:val="left"/>
      <w:pPr>
        <w:ind w:left="5032" w:hanging="1800"/>
      </w:pPr>
      <w:rPr/>
    </w:lvl>
  </w:abstractNum>
  <w:abstractNum w:abstractNumId="27">
    <w:lvl w:ilvl="0">
      <w:start w:val="1"/>
      <w:numFmt w:val="decimal"/>
      <w:lvlText w:val="%1"/>
      <w:lvlJc w:val="left"/>
      <w:pPr>
        <w:ind w:left="360" w:hanging="360"/>
      </w:pPr>
      <w:rPr/>
    </w:lvl>
    <w:lvl w:ilvl="1">
      <w:start w:val="2"/>
      <w:numFmt w:val="decimal"/>
      <w:lvlText w:val="%1.%2"/>
      <w:lvlJc w:val="left"/>
      <w:pPr>
        <w:ind w:left="786" w:hanging="360.00000000000006"/>
      </w:pPr>
      <w:rPr/>
    </w:lvl>
    <w:lvl w:ilvl="2">
      <w:start w:val="1"/>
      <w:numFmt w:val="decimal"/>
      <w:lvlText w:val="%1.%2.%3"/>
      <w:lvlJc w:val="left"/>
      <w:pPr>
        <w:ind w:left="1572" w:hanging="720.0000000000001"/>
      </w:pPr>
      <w:rPr/>
    </w:lvl>
    <w:lvl w:ilvl="3">
      <w:start w:val="1"/>
      <w:numFmt w:val="decimal"/>
      <w:lvlText w:val="%1.%2.%3.%4"/>
      <w:lvlJc w:val="left"/>
      <w:pPr>
        <w:ind w:left="2358" w:hanging="1080"/>
      </w:pPr>
      <w:rPr/>
    </w:lvl>
    <w:lvl w:ilvl="4">
      <w:start w:val="1"/>
      <w:numFmt w:val="decimal"/>
      <w:lvlText w:val="%1.%2.%3.%4.%5"/>
      <w:lvlJc w:val="left"/>
      <w:pPr>
        <w:ind w:left="2784" w:hanging="1080.0000000000002"/>
      </w:pPr>
      <w:rPr/>
    </w:lvl>
    <w:lvl w:ilvl="5">
      <w:start w:val="1"/>
      <w:numFmt w:val="decimal"/>
      <w:lvlText w:val="%1.%2.%3.%4.%5.%6"/>
      <w:lvlJc w:val="left"/>
      <w:pPr>
        <w:ind w:left="3570" w:hanging="1440"/>
      </w:pPr>
      <w:rPr/>
    </w:lvl>
    <w:lvl w:ilvl="6">
      <w:start w:val="1"/>
      <w:numFmt w:val="decimal"/>
      <w:lvlText w:val="%1.%2.%3.%4.%5.%6.%7"/>
      <w:lvlJc w:val="left"/>
      <w:pPr>
        <w:ind w:left="3996" w:hanging="1440"/>
      </w:pPr>
      <w:rPr/>
    </w:lvl>
    <w:lvl w:ilvl="7">
      <w:start w:val="1"/>
      <w:numFmt w:val="decimal"/>
      <w:lvlText w:val="%1.%2.%3.%4.%5.%6.%7.%8"/>
      <w:lvlJc w:val="left"/>
      <w:pPr>
        <w:ind w:left="4782" w:hanging="1800"/>
      </w:pPr>
      <w:rPr/>
    </w:lvl>
    <w:lvl w:ilvl="8">
      <w:start w:val="1"/>
      <w:numFmt w:val="decimal"/>
      <w:lvlText w:val="%1.%2.%3.%4.%5.%6.%7.%8.%9"/>
      <w:lvlJc w:val="left"/>
      <w:pPr>
        <w:ind w:left="5208" w:hanging="1800.0000000000005"/>
      </w:pPr>
      <w:rPr/>
    </w:lvl>
  </w:abstractNum>
  <w:abstractNum w:abstractNumId="28">
    <w:lvl w:ilvl="0">
      <w:start w:val="1"/>
      <w:numFmt w:val="decimal"/>
      <w:lvlText w:val="%1"/>
      <w:lvlJc w:val="left"/>
      <w:pPr>
        <w:ind w:left="530" w:hanging="530"/>
      </w:pPr>
      <w:rPr/>
    </w:lvl>
    <w:lvl w:ilvl="1">
      <w:start w:val="2"/>
      <w:numFmt w:val="decimal"/>
      <w:lvlText w:val="%1.%2"/>
      <w:lvlJc w:val="left"/>
      <w:pPr>
        <w:ind w:left="1654" w:hanging="530"/>
      </w:pPr>
      <w:rPr/>
    </w:lvl>
    <w:lvl w:ilvl="2">
      <w:start w:val="2"/>
      <w:numFmt w:val="decimal"/>
      <w:lvlText w:val="%1.%2.%3"/>
      <w:lvlJc w:val="left"/>
      <w:pPr>
        <w:ind w:left="2968" w:hanging="720"/>
      </w:pPr>
      <w:rPr/>
    </w:lvl>
    <w:lvl w:ilvl="3">
      <w:start w:val="1"/>
      <w:numFmt w:val="decimal"/>
      <w:lvlText w:val="%1.%2.%3.%4"/>
      <w:lvlJc w:val="left"/>
      <w:pPr>
        <w:ind w:left="4452" w:hanging="1080"/>
      </w:pPr>
      <w:rPr/>
    </w:lvl>
    <w:lvl w:ilvl="4">
      <w:start w:val="1"/>
      <w:numFmt w:val="decimal"/>
      <w:lvlText w:val="%1.%2.%3.%4.%5"/>
      <w:lvlJc w:val="left"/>
      <w:pPr>
        <w:ind w:left="5576" w:hanging="1080"/>
      </w:pPr>
      <w:rPr/>
    </w:lvl>
    <w:lvl w:ilvl="5">
      <w:start w:val="1"/>
      <w:numFmt w:val="decimal"/>
      <w:lvlText w:val="%1.%2.%3.%4.%5.%6"/>
      <w:lvlJc w:val="left"/>
      <w:pPr>
        <w:ind w:left="7060" w:hanging="1440"/>
      </w:pPr>
      <w:rPr/>
    </w:lvl>
    <w:lvl w:ilvl="6">
      <w:start w:val="1"/>
      <w:numFmt w:val="decimal"/>
      <w:lvlText w:val="%1.%2.%3.%4.%5.%6.%7"/>
      <w:lvlJc w:val="left"/>
      <w:pPr>
        <w:ind w:left="8184" w:hanging="1440"/>
      </w:pPr>
      <w:rPr/>
    </w:lvl>
    <w:lvl w:ilvl="7">
      <w:start w:val="1"/>
      <w:numFmt w:val="decimal"/>
      <w:lvlText w:val="%1.%2.%3.%4.%5.%6.%7.%8"/>
      <w:lvlJc w:val="left"/>
      <w:pPr>
        <w:ind w:left="9668" w:hanging="1800"/>
      </w:pPr>
      <w:rPr/>
    </w:lvl>
    <w:lvl w:ilvl="8">
      <w:start w:val="1"/>
      <w:numFmt w:val="decimal"/>
      <w:lvlText w:val="%1.%2.%3.%4.%5.%6.%7.%8.%9"/>
      <w:lvlJc w:val="left"/>
      <w:pPr>
        <w:ind w:left="10792"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567" w:right="0" w:hanging="567"/>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bCs w:val="1"/>
      <w:i w:val="0"/>
      <w:iCs w:val="0"/>
      <w:smallCaps w:val="0"/>
      <w:strike w:val="0"/>
      <w:color w:val="000000"/>
      <w:sz w:val="26"/>
      <w:szCs w:val="2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268" w:right="0" w:hanging="85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85" w:right="0" w:hanging="566"/>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90871057-1</vt:lpwstr>
  </property>
</Properties>
</file>